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La Dirección General de Tributación seleccionará los contribuyentes a fiscalizar considerando al menos uno de los siguientes criterios:</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a) Todos los contribuyentes clasificados como Grandes Contribuyentes Nacionales o como Grandes Empresas Regionales podrán, cuando así lo defina y convenga a los intereses de la Administración Tributaria.</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b) Que la información consignada en las declaraciones tributarias correspondientes a los distintos impuestos administrados por la Dirección General, registre valores diferentes a los detectados por medio de información interna o externa.</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c) Que sus indicadores tributarios o financieros se desvíen significativamente de los indicadores promedio de la actividad económica en que se desempeñan.</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d) Que generen saldos a favor en el impuesto sobre las Ventas, durante tres o más meses consecutivos o alternos del periodo comprendido entre octubre de un año y setiembre del siguiente.</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e) Que gocen de beneficios fiscales amparados a contratos especiales (forestales, industriales, turísticos, de exportación y otros que se lleguen a dar).</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f) Que hubieren omitido la presentación de alguna de las declaraciones impositivas o informativas, a que estuvieran obligados; que no hubieren atendido adecuadamente los requerimientos de información de trascendencia tributaria que se le hubieren formulado; que no hubieren practicado las retenciones que establecen las leyes impositivas o que las practicadas muestren diferencias con respecto a los valores detectados por la Administración Tributaria. También se aplicará este criterio en aquellos casos en que un sujeto pasivo, previamente requerido para que presente las declaraciones tributarias que hubiere omitido, las presente igualando los ingresos que se le imputan con los costos y deducciones o cuando estos últimos superen a aquellos.</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g) Que exista información de trascendencia tributaria sobre la conducta del contribuyente, obtenida de las denuncias que se presenten o de la información sobre aspectos relacionados con su actividad económica que se publiquen en los medios de comunicación colectiva o que se obtenga a través de la aplicación de sanciones tributarias, tales como el cierre de negocios por no emisión de facturas o por no percibir, no retener o no enterar al Fisco el impuesto respecto del cual sean sujetos pasivos, que hagan presumir la existencia de irregularidades en su situación tributaria.</w:t>
      </w:r>
      <w:r>
        <w:rPr>
          <w:rFonts w:ascii="Georgia" w:hAnsi="Georgia"/>
          <w:color w:val="333333"/>
        </w:rPr>
        <w:br/>
      </w:r>
    </w:p>
    <w:p w:rsidR="001546BA" w:rsidRDefault="001546BA" w:rsidP="001546BA">
      <w:pPr>
        <w:pStyle w:val="NormalWeb"/>
        <w:spacing w:line="294" w:lineRule="atLeast"/>
        <w:jc w:val="both"/>
        <w:rPr>
          <w:rFonts w:ascii="Georgia" w:hAnsi="Georgia"/>
          <w:color w:val="333333"/>
        </w:rPr>
      </w:pP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lastRenderedPageBreak/>
        <w:t>La denuncia como criterio único para la selección de un contribuyente para su fiscalización, sólo podrá utilizarse una vez dentro de un mismo periodo fiscal. La existencia de denuncias posteriores sobre los mismos hechos únicamente dará lugar a la fiscalización cuando concurra algún otro criterio seleccionados.</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h) Que no apliquen correctamente las tarifas de impuesto del cual sean sujetos pasivos, de acuerdo con las disposiciones legales en vigencia.</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i) Que haya presentado declaración rectificativa mediante la cual se hubiese disminuido el impuesto o aumentado el saldo a favor, determinados en declaraciones anteriores.</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j) Que hubiera tenido o que mantenga, operaciones económicas con las entidades no sujetas al impuesto sobre las utilidades establecidas en el inciso ch) del artículo 3º de la Ley del Impuesto sobre la Renta, Nº 7092 del 21 abril de 1988.</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k)Que pertenezca a los sectores o actividades económicas que establezca la Dirección General de Tributación, mediante resolución publicada con antelación al inicio del Plan Anual de Fiscalización.</w:t>
      </w:r>
    </w:p>
    <w:p w:rsidR="001546BA" w:rsidRDefault="001546BA" w:rsidP="001546BA">
      <w:pPr>
        <w:pStyle w:val="NormalWeb"/>
        <w:spacing w:line="294" w:lineRule="atLeast"/>
        <w:jc w:val="both"/>
        <w:rPr>
          <w:rFonts w:ascii="Georgia" w:hAnsi="Georgia"/>
          <w:color w:val="333333"/>
          <w:sz w:val="20"/>
          <w:szCs w:val="20"/>
        </w:rPr>
      </w:pPr>
      <w:r>
        <w:rPr>
          <w:rFonts w:ascii="Georgia" w:hAnsi="Georgia"/>
          <w:color w:val="333333"/>
        </w:rPr>
        <w:t>l) Que hubieren efectuado la revaluación de sus activos para el periodo 2000 del impuesto sobre las utilidades, utilizando métodos diferentes a los establecidos por la Dirección General de Tributación, mediante resolución 30/200 de las 8,00 horas del 20 de noviembre del 2000, publicada en La Gaceta Nº 233 del 5 de diciembre del 2000.</w:t>
      </w:r>
    </w:p>
    <w:p w:rsidR="00E22363" w:rsidRDefault="001546BA" w:rsidP="001546BA">
      <w:pPr>
        <w:pStyle w:val="NormalWeb"/>
        <w:shd w:val="clear" w:color="auto" w:fill="FFFFFF"/>
        <w:spacing w:line="294" w:lineRule="atLeast"/>
        <w:jc w:val="both"/>
      </w:pPr>
      <w:r>
        <w:rPr>
          <w:rFonts w:ascii="Georgia" w:hAnsi="Georgia"/>
          <w:color w:val="333333"/>
        </w:rPr>
        <w:t>Los criterios de selección establecidos anteriormente, podrán ser ampliados, reducidos o modificados anualmente de conformidad con intereses de la Administración Tributaria.</w:t>
      </w:r>
    </w:p>
    <w:sectPr w:rsidR="00E22363" w:rsidSect="0086634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defaultTabStop w:val="708"/>
  <w:hyphenationZone w:val="425"/>
  <w:characterSpacingControl w:val="doNotCompress"/>
  <w:compat/>
  <w:rsids>
    <w:rsidRoot w:val="001546BA"/>
    <w:rsid w:val="001546BA"/>
    <w:rsid w:val="001D457D"/>
    <w:rsid w:val="0044707E"/>
    <w:rsid w:val="004929A9"/>
    <w:rsid w:val="00866346"/>
    <w:rsid w:val="009601E5"/>
  </w:rsids>
  <m:mathPr>
    <m:mathFont m:val="Cambria Math"/>
    <m:brkBin m:val="before"/>
    <m:brkBinSub m:val="--"/>
    <m:smallFrac m:val="off"/>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34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546BA"/>
    <w:pPr>
      <w:spacing w:before="100" w:beforeAutospacing="1" w:after="100" w:afterAutospacing="1" w:line="240" w:lineRule="auto"/>
    </w:pPr>
    <w:rPr>
      <w:rFonts w:ascii="Times New Roman" w:eastAsia="Times New Roman" w:hAnsi="Times New Roman" w:cs="Times New Roman"/>
      <w:sz w:val="24"/>
      <w:szCs w:val="24"/>
      <w:lang w:eastAsia="es-CR"/>
    </w:rPr>
  </w:style>
</w:styles>
</file>

<file path=word/webSettings.xml><?xml version="1.0" encoding="utf-8"?>
<w:webSettings xmlns:r="http://schemas.openxmlformats.org/officeDocument/2006/relationships" xmlns:w="http://schemas.openxmlformats.org/wordprocessingml/2006/main">
  <w:divs>
    <w:div w:id="2108235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611</Words>
  <Characters>3363</Characters>
  <Application>Microsoft Office Word</Application>
  <DocSecurity>0</DocSecurity>
  <Lines>28</Lines>
  <Paragraphs>7</Paragraphs>
  <ScaleCrop>false</ScaleCrop>
  <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ContabilidadII</dc:creator>
  <cp:lastModifiedBy>ContabilidadII</cp:lastModifiedBy>
  <cp:revision>1</cp:revision>
  <dcterms:created xsi:type="dcterms:W3CDTF">2013-01-17T15:58:00Z</dcterms:created>
  <dcterms:modified xsi:type="dcterms:W3CDTF">2013-01-17T16:01:00Z</dcterms:modified>
</cp:coreProperties>
</file>