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7EE6" w:rsidRPr="00017EE6" w:rsidRDefault="00017EE6" w:rsidP="00017EE6">
      <w:pPr>
        <w:spacing w:after="0" w:line="240" w:lineRule="auto"/>
        <w:ind w:left="170" w:right="51" w:firstLine="709"/>
        <w:jc w:val="center"/>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Criterio institucional sobre el incremento patrimonial no justificado</w:t>
      </w:r>
    </w:p>
    <w:p w:rsidR="00017EE6" w:rsidRPr="00017EE6" w:rsidRDefault="00017EE6" w:rsidP="00017EE6">
      <w:pPr>
        <w:spacing w:after="0" w:line="240" w:lineRule="auto"/>
        <w:ind w:left="170" w:right="51" w:firstLine="709"/>
        <w:jc w:val="center"/>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 </w:t>
      </w:r>
    </w:p>
    <w:p w:rsidR="00017EE6" w:rsidRPr="00017EE6" w:rsidRDefault="00017EE6" w:rsidP="00017EE6">
      <w:pPr>
        <w:spacing w:after="0" w:line="240" w:lineRule="auto"/>
        <w:ind w:left="170" w:right="51" w:firstLine="709"/>
        <w:jc w:val="center"/>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Dirección General de Tributación</w:t>
      </w:r>
    </w:p>
    <w:p w:rsidR="00017EE6" w:rsidRPr="00017EE6" w:rsidRDefault="00017EE6" w:rsidP="00017EE6">
      <w:pPr>
        <w:spacing w:after="0" w:line="240" w:lineRule="auto"/>
        <w:ind w:left="170" w:right="51" w:firstLine="709"/>
        <w:jc w:val="center"/>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 </w:t>
      </w:r>
    </w:p>
    <w:p w:rsidR="00017EE6" w:rsidRPr="00017EE6" w:rsidRDefault="00017EE6" w:rsidP="00017EE6">
      <w:pPr>
        <w:spacing w:after="0" w:line="240" w:lineRule="auto"/>
        <w:ind w:left="170" w:right="51" w:firstLine="709"/>
        <w:jc w:val="center"/>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Ministerio de Hacienda</w:t>
      </w:r>
    </w:p>
    <w:p w:rsidR="00017EE6" w:rsidRPr="00017EE6" w:rsidRDefault="00017EE6" w:rsidP="00017EE6">
      <w:pPr>
        <w:spacing w:after="0" w:line="240" w:lineRule="auto"/>
        <w:ind w:left="170" w:right="51" w:firstLine="709"/>
        <w:jc w:val="both"/>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 </w:t>
      </w:r>
    </w:p>
    <w:p w:rsidR="00017EE6" w:rsidRPr="00017EE6" w:rsidRDefault="00017EE6" w:rsidP="00017EE6">
      <w:pPr>
        <w:spacing w:after="0" w:line="240" w:lineRule="auto"/>
        <w:ind w:left="170" w:right="51" w:firstLine="709"/>
        <w:jc w:val="both"/>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Resumen ejecutivo: </w:t>
      </w:r>
      <w:r w:rsidRPr="00017EE6">
        <w:rPr>
          <w:rFonts w:ascii="Arial Narrow" w:eastAsia="Times New Roman" w:hAnsi="Arial Narrow" w:cs="Calibri"/>
          <w:color w:val="000000"/>
          <w:sz w:val="24"/>
          <w:szCs w:val="24"/>
          <w:lang w:eastAsia="es-CR"/>
        </w:rPr>
        <w:t>En los casos en que</w:t>
      </w:r>
      <w:r w:rsidRPr="00017EE6">
        <w:rPr>
          <w:rFonts w:ascii="Arial Narrow" w:eastAsia="Times New Roman" w:hAnsi="Arial Narrow" w:cs="Calibri"/>
          <w:b/>
          <w:bCs/>
          <w:color w:val="000000"/>
          <w:sz w:val="24"/>
          <w:szCs w:val="24"/>
          <w:lang w:eastAsia="es-CR"/>
        </w:rPr>
        <w:t> </w:t>
      </w:r>
      <w:r w:rsidRPr="00017EE6">
        <w:rPr>
          <w:rFonts w:ascii="Arial Narrow" w:eastAsia="Times New Roman" w:hAnsi="Arial Narrow" w:cs="Calibri"/>
          <w:color w:val="000000"/>
          <w:sz w:val="24"/>
          <w:szCs w:val="24"/>
          <w:lang w:eastAsia="es-CR"/>
        </w:rPr>
        <w:t>la Administración Tributaria detecte la existencia de montos, activos u otros elementos que incrementen el patrimonio del contribuyente y que los mismos no sean consistentes con la declaración del impuesto sobre las utilidades ni los documentos idóneos que respaldan tal autoliquidación tributaria, deberá trasladarse la carga de la prueba al sujeto pasivo, a fin que justifique con prueba documental idónea, que el origen o la fuente que financia tal incremento constituyen rentas exentas, no sujetas o ya declaradas.</w:t>
      </w:r>
      <w:r w:rsidRPr="00017EE6">
        <w:rPr>
          <w:rFonts w:ascii="Arial Narrow" w:eastAsia="Times New Roman" w:hAnsi="Arial Narrow" w:cs="Calibri"/>
          <w:color w:val="C00000"/>
          <w:sz w:val="24"/>
          <w:szCs w:val="24"/>
          <w:lang w:eastAsia="es-CR"/>
        </w:rPr>
        <w:t> </w:t>
      </w:r>
      <w:r w:rsidRPr="00017EE6">
        <w:rPr>
          <w:rFonts w:ascii="Arial Narrow" w:eastAsia="Times New Roman" w:hAnsi="Arial Narrow" w:cs="Calibri"/>
          <w:color w:val="000000"/>
          <w:sz w:val="24"/>
          <w:szCs w:val="24"/>
          <w:lang w:eastAsia="es-CR"/>
        </w:rPr>
        <w:t>En caso que el contribuyente no logre justificar dicho incremento, deberá aplicarse la presunción legal de que el incremento determinado son rentas gravables no declaradas. Tal incremento constituirá parte de la renta bruta en el momento en que la Administración Tributaria lo determine y afectará el período que corresponda, conforme lo establece el artículo 5 de la Ley del Impuesto sobre la Renta.</w:t>
      </w:r>
    </w:p>
    <w:p w:rsidR="00017EE6" w:rsidRPr="00017EE6" w:rsidRDefault="00017EE6" w:rsidP="00017EE6">
      <w:pPr>
        <w:spacing w:after="0" w:line="240" w:lineRule="auto"/>
        <w:ind w:firstLine="708"/>
        <w:jc w:val="both"/>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 </w:t>
      </w:r>
    </w:p>
    <w:p w:rsidR="00017EE6" w:rsidRPr="00017EE6" w:rsidRDefault="00017EE6" w:rsidP="00017EE6">
      <w:pPr>
        <w:spacing w:after="0" w:line="240" w:lineRule="auto"/>
        <w:ind w:firstLine="708"/>
        <w:jc w:val="both"/>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Normas de referencia</w:t>
      </w:r>
      <w:r w:rsidRPr="00017EE6">
        <w:rPr>
          <w:rFonts w:ascii="Arial Narrow" w:eastAsia="Times New Roman" w:hAnsi="Arial Narrow" w:cs="Calibri"/>
          <w:color w:val="000000"/>
          <w:sz w:val="24"/>
          <w:szCs w:val="24"/>
          <w:lang w:eastAsia="es-CR"/>
        </w:rPr>
        <w:t>: Artículo 18 de la Constitución Política. Artículos 1, 6 y 5 de la Ley del Impuesto sobre la Renta, Nº 7092 de 21 de abril de 1988 y sus reformas, publicado en La Gaceta Nº 96 de 19 de mayo de 1988 y artículo 8 del Reglamento a la Ley del Impuesto sobre la Renta, decreto ejecutivo Nº 18445-H del 9 de setiembre de 1988.</w:t>
      </w:r>
    </w:p>
    <w:p w:rsidR="00017EE6" w:rsidRPr="00017EE6" w:rsidRDefault="00017EE6" w:rsidP="00017EE6">
      <w:pPr>
        <w:spacing w:after="0" w:line="240" w:lineRule="auto"/>
        <w:jc w:val="both"/>
        <w:rPr>
          <w:rFonts w:ascii="Calibri" w:eastAsia="Times New Roman" w:hAnsi="Calibri" w:cs="Calibri"/>
          <w:color w:val="000000"/>
          <w:lang w:eastAsia="es-CR"/>
        </w:rPr>
      </w:pPr>
      <w:r w:rsidRPr="00017EE6">
        <w:rPr>
          <w:rFonts w:ascii="Times New Roman" w:eastAsia="Times New Roman" w:hAnsi="Times New Roman" w:cs="Times New Roman"/>
          <w:color w:val="000000"/>
          <w:sz w:val="24"/>
          <w:szCs w:val="24"/>
          <w:lang w:eastAsia="es-CR"/>
        </w:rPr>
        <w:t> </w:t>
      </w:r>
    </w:p>
    <w:p w:rsidR="00017EE6" w:rsidRPr="00017EE6" w:rsidRDefault="00017EE6" w:rsidP="00017EE6">
      <w:pPr>
        <w:spacing w:after="0" w:line="240" w:lineRule="auto"/>
        <w:ind w:left="170" w:right="51" w:firstLine="709"/>
        <w:jc w:val="center"/>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Criterio Institucional No.  DGT-CI-001-2012 del 06 de enero de 2012</w:t>
      </w:r>
    </w:p>
    <w:p w:rsidR="00017EE6" w:rsidRPr="00017EE6" w:rsidRDefault="00017EE6" w:rsidP="00017EE6">
      <w:pPr>
        <w:spacing w:after="0" w:line="240" w:lineRule="auto"/>
        <w:ind w:left="170" w:right="51" w:firstLine="709"/>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 </w:t>
      </w:r>
    </w:p>
    <w:p w:rsidR="00017EE6" w:rsidRPr="00017EE6" w:rsidRDefault="00017EE6" w:rsidP="00017EE6">
      <w:pPr>
        <w:spacing w:after="0" w:line="240" w:lineRule="auto"/>
        <w:ind w:left="170" w:right="51" w:firstLine="480"/>
        <w:jc w:val="both"/>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1º- </w:t>
      </w:r>
      <w:r w:rsidRPr="00017EE6">
        <w:rPr>
          <w:rFonts w:ascii="Arial Narrow" w:eastAsia="Times New Roman" w:hAnsi="Arial Narrow" w:cs="Calibri"/>
          <w:color w:val="000000"/>
          <w:sz w:val="24"/>
          <w:szCs w:val="24"/>
          <w:lang w:eastAsia="es-CR"/>
        </w:rPr>
        <w:t>Que los artículos 99 y 103 inciso e) de la Ley N° 4755 de 3 de mayo de 1971, Código de Normas y Procedimientos Tributarios, en adelante, Código Tributario, facultan a la Administración Tributaria para verificar el correcto cumplimiento de las obligaciones tributarias, por todos los medios y procedimientos legales, permitiendo la interpretación administrativa de las disposiciones contenidas en dicho cuerpo legal.</w:t>
      </w:r>
    </w:p>
    <w:p w:rsidR="00017EE6" w:rsidRPr="00017EE6" w:rsidRDefault="00017EE6" w:rsidP="00017EE6">
      <w:pPr>
        <w:spacing w:after="0" w:line="240" w:lineRule="auto"/>
        <w:ind w:left="170" w:right="51" w:firstLine="480"/>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 </w:t>
      </w:r>
    </w:p>
    <w:p w:rsidR="00017EE6" w:rsidRPr="00017EE6" w:rsidRDefault="00017EE6" w:rsidP="00017EE6">
      <w:pPr>
        <w:spacing w:after="0" w:line="240" w:lineRule="auto"/>
        <w:ind w:left="170" w:right="51" w:firstLine="480"/>
        <w:jc w:val="both"/>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2°-</w:t>
      </w:r>
      <w:r w:rsidRPr="00017EE6">
        <w:rPr>
          <w:rFonts w:ascii="Arial Narrow" w:eastAsia="Times New Roman" w:hAnsi="Arial Narrow" w:cs="Calibri"/>
          <w:color w:val="000000"/>
          <w:sz w:val="24"/>
          <w:szCs w:val="24"/>
          <w:lang w:eastAsia="es-CR"/>
        </w:rPr>
        <w:t>Que el artículo 1 de la resolución N° DGT- R-003-2011 de 4 de febrero de 2011, publicada en La Gaceta N° 43 de 2 de marzo de 2011, establece que la Dirección General de Tributación debe publicar los criterios institucionales de mayor relevancia en materia tributaria.</w:t>
      </w:r>
    </w:p>
    <w:p w:rsidR="00017EE6" w:rsidRPr="00017EE6" w:rsidRDefault="00017EE6" w:rsidP="00017EE6">
      <w:pPr>
        <w:spacing w:after="0" w:line="240" w:lineRule="auto"/>
        <w:ind w:left="170" w:right="51" w:firstLine="480"/>
        <w:jc w:val="both"/>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 </w:t>
      </w:r>
    </w:p>
    <w:p w:rsidR="00017EE6" w:rsidRPr="00017EE6" w:rsidRDefault="00017EE6" w:rsidP="00017EE6">
      <w:pPr>
        <w:spacing w:after="0" w:line="240" w:lineRule="auto"/>
        <w:ind w:left="170" w:right="51" w:firstLine="480"/>
        <w:jc w:val="center"/>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Antecedentes:</w:t>
      </w:r>
    </w:p>
    <w:p w:rsidR="00017EE6" w:rsidRPr="00017EE6" w:rsidRDefault="00017EE6" w:rsidP="00017EE6">
      <w:pPr>
        <w:spacing w:after="0" w:line="240" w:lineRule="auto"/>
        <w:ind w:left="170" w:right="51" w:firstLine="480"/>
        <w:jc w:val="center"/>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 </w:t>
      </w:r>
    </w:p>
    <w:p w:rsidR="00017EE6" w:rsidRPr="00017EE6" w:rsidRDefault="00017EE6" w:rsidP="00017EE6">
      <w:pPr>
        <w:numPr>
          <w:ilvl w:val="0"/>
          <w:numId w:val="1"/>
        </w:numPr>
        <w:spacing w:after="0" w:line="240" w:lineRule="auto"/>
        <w:ind w:right="51"/>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La figura del incremento patrimonial no justificado es una norma jurídico-tributaria que pretende cerrar algunos portillos que pudieran dejar abiertos normas de fondo propias del impuesto sobre las utilidades, y que como consecuencia de esos mismos defectos u omisiones pudieren lograr un fin no perseguido, permitiendo la elusión o incluso de evasión tributaria.</w:t>
      </w:r>
    </w:p>
    <w:p w:rsidR="00017EE6" w:rsidRPr="00017EE6" w:rsidRDefault="00017EE6" w:rsidP="00017EE6">
      <w:pPr>
        <w:spacing w:after="0" w:line="240" w:lineRule="auto"/>
        <w:ind w:right="51"/>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 </w:t>
      </w:r>
    </w:p>
    <w:p w:rsidR="00017EE6" w:rsidRPr="00017EE6" w:rsidRDefault="00017EE6" w:rsidP="00017EE6">
      <w:pPr>
        <w:numPr>
          <w:ilvl w:val="0"/>
          <w:numId w:val="2"/>
        </w:numPr>
        <w:spacing w:after="0" w:line="240" w:lineRule="auto"/>
        <w:ind w:right="51"/>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Así, los ordenamientos jurídicos contienen dicha figura como una norma de cierre, que pretende evitar que escapen de tributar, rentas que son gravables en el impuesto a las utilidades, ya sea porque  no fueron declaradas o porque fueron ocultadas por el sujeto pasivo. </w:t>
      </w:r>
      <w:bookmarkStart w:id="0" w:name="_ftnref1"/>
      <w:r w:rsidRPr="00017EE6">
        <w:rPr>
          <w:rFonts w:ascii="Calibri" w:eastAsia="Times New Roman" w:hAnsi="Calibri" w:cs="Calibri"/>
          <w:color w:val="000000"/>
          <w:lang w:eastAsia="es-CR"/>
        </w:rPr>
        <w:fldChar w:fldCharType="begin"/>
      </w:r>
      <w:r w:rsidRPr="00017EE6">
        <w:rPr>
          <w:rFonts w:ascii="Calibri" w:eastAsia="Times New Roman" w:hAnsi="Calibri" w:cs="Calibri"/>
          <w:color w:val="000000"/>
          <w:lang w:eastAsia="es-CR"/>
        </w:rPr>
        <w:instrText xml:space="preserve"> HYPERLINK "http://196.40.56.20/DOCUWEB/1/INCREMENTOPATRIMONIALNOJUSTIFICADO.html" \l "_ftn1" \o "" </w:instrText>
      </w:r>
      <w:r w:rsidRPr="00017EE6">
        <w:rPr>
          <w:rFonts w:ascii="Calibri" w:eastAsia="Times New Roman" w:hAnsi="Calibri" w:cs="Calibri"/>
          <w:color w:val="000000"/>
          <w:lang w:eastAsia="es-CR"/>
        </w:rPr>
        <w:fldChar w:fldCharType="separate"/>
      </w:r>
      <w:r w:rsidRPr="00017EE6">
        <w:rPr>
          <w:rFonts w:ascii="Calibri" w:eastAsia="Times New Roman" w:hAnsi="Calibri" w:cs="Calibri"/>
          <w:color w:val="800080"/>
          <w:u w:val="single"/>
          <w:vertAlign w:val="superscript"/>
          <w:lang w:eastAsia="es-CR"/>
        </w:rPr>
        <w:t>[1]</w:t>
      </w:r>
      <w:r w:rsidRPr="00017EE6">
        <w:rPr>
          <w:rFonts w:ascii="Calibri" w:eastAsia="Times New Roman" w:hAnsi="Calibri" w:cs="Calibri"/>
          <w:color w:val="000000"/>
          <w:lang w:eastAsia="es-CR"/>
        </w:rPr>
        <w:fldChar w:fldCharType="end"/>
      </w:r>
      <w:bookmarkEnd w:id="0"/>
    </w:p>
    <w:p w:rsidR="00017EE6" w:rsidRPr="00017EE6" w:rsidRDefault="00017EE6" w:rsidP="00017EE6">
      <w:pPr>
        <w:spacing w:after="0" w:line="240" w:lineRule="auto"/>
        <w:ind w:left="720"/>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lastRenderedPageBreak/>
        <w:t> </w:t>
      </w:r>
    </w:p>
    <w:p w:rsidR="00017EE6" w:rsidRPr="00017EE6" w:rsidRDefault="00017EE6" w:rsidP="00017EE6">
      <w:pPr>
        <w:numPr>
          <w:ilvl w:val="0"/>
          <w:numId w:val="3"/>
        </w:numPr>
        <w:spacing w:after="0" w:line="240" w:lineRule="auto"/>
        <w:ind w:right="51"/>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El artículo 5 de la Ley del Impuesto sobre la Renta plasma de una manera ineludible, la obligación de declarar y registrar contablemente todos los rendimientos, no siendo factible que ninguna ganancia deba escapar o dejar de gravarse por desconocimiento de su verdadera naturaleza tributaria.</w:t>
      </w:r>
    </w:p>
    <w:p w:rsidR="00017EE6" w:rsidRPr="00017EE6" w:rsidRDefault="00017EE6" w:rsidP="00017EE6">
      <w:pPr>
        <w:spacing w:after="0" w:line="240" w:lineRule="auto"/>
        <w:ind w:right="51"/>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 </w:t>
      </w:r>
    </w:p>
    <w:p w:rsidR="00017EE6" w:rsidRPr="00017EE6" w:rsidRDefault="00017EE6" w:rsidP="00017EE6">
      <w:pPr>
        <w:spacing w:line="240" w:lineRule="auto"/>
        <w:ind w:left="709"/>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     De esta manera, al no lograrse demostrar el origen de la fuente que justifique la existencia de tal incremento y por ende al no poder hacerse una calificación o categorización del mismo, se utilizan formas de determinación de la obligación tributaria propias del tipo presuntivo.</w:t>
      </w:r>
    </w:p>
    <w:p w:rsidR="00017EE6" w:rsidRPr="00017EE6" w:rsidRDefault="00017EE6" w:rsidP="00017EE6">
      <w:pPr>
        <w:spacing w:line="240" w:lineRule="auto"/>
        <w:ind w:left="709"/>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La Doctrina denomina la presunción como:</w:t>
      </w:r>
    </w:p>
    <w:p w:rsidR="00017EE6" w:rsidRPr="00017EE6" w:rsidRDefault="00017EE6" w:rsidP="00017EE6">
      <w:pPr>
        <w:spacing w:line="240" w:lineRule="auto"/>
        <w:ind w:left="709" w:right="707"/>
        <w:jc w:val="both"/>
        <w:rPr>
          <w:rFonts w:ascii="Calibri" w:eastAsia="Times New Roman" w:hAnsi="Calibri" w:cs="Calibri"/>
          <w:color w:val="000000"/>
          <w:lang w:eastAsia="es-CR"/>
        </w:rPr>
      </w:pPr>
      <w:r w:rsidRPr="00017EE6">
        <w:rPr>
          <w:rFonts w:ascii="Arial Narrow" w:eastAsia="Times New Roman" w:hAnsi="Arial Narrow" w:cs="Calibri"/>
          <w:i/>
          <w:iCs/>
          <w:color w:val="000000"/>
          <w:sz w:val="24"/>
          <w:szCs w:val="24"/>
          <w:lang w:eastAsia="es-CR"/>
        </w:rPr>
        <w:t>“(…) el instituto probatorio que permite al operador jurídico considerar cierta la realización de un hecho mediante la prueba de otro hecho distinto al presupuesto fáctico de la norma cuyos efectos se  pretenden, debido a la existencia de un nexo que vincula ambos hechos.”</w:t>
      </w:r>
      <w:bookmarkStart w:id="1" w:name="_ftnref2"/>
      <w:r w:rsidRPr="00017EE6">
        <w:rPr>
          <w:rFonts w:ascii="Arial Narrow" w:eastAsia="Times New Roman" w:hAnsi="Arial Narrow" w:cs="Calibri"/>
          <w:i/>
          <w:iCs/>
          <w:color w:val="000000"/>
          <w:sz w:val="24"/>
          <w:szCs w:val="24"/>
          <w:lang w:eastAsia="es-CR"/>
        </w:rPr>
        <w:fldChar w:fldCharType="begin"/>
      </w:r>
      <w:r w:rsidRPr="00017EE6">
        <w:rPr>
          <w:rFonts w:ascii="Arial Narrow" w:eastAsia="Times New Roman" w:hAnsi="Arial Narrow" w:cs="Calibri"/>
          <w:i/>
          <w:iCs/>
          <w:color w:val="000000"/>
          <w:sz w:val="24"/>
          <w:szCs w:val="24"/>
          <w:lang w:eastAsia="es-CR"/>
        </w:rPr>
        <w:instrText xml:space="preserve"> HYPERLINK "http://196.40.56.20/DOCUWEB/1/INCREMENTOPATRIMONIALNOJUSTIFICADO.html" \l "_ftn2" \o "" </w:instrText>
      </w:r>
      <w:r w:rsidRPr="00017EE6">
        <w:rPr>
          <w:rFonts w:ascii="Arial Narrow" w:eastAsia="Times New Roman" w:hAnsi="Arial Narrow" w:cs="Calibri"/>
          <w:i/>
          <w:iCs/>
          <w:color w:val="000000"/>
          <w:sz w:val="24"/>
          <w:szCs w:val="24"/>
          <w:lang w:eastAsia="es-CR"/>
        </w:rPr>
        <w:fldChar w:fldCharType="separate"/>
      </w:r>
      <w:r w:rsidRPr="00017EE6">
        <w:rPr>
          <w:rFonts w:ascii="Arial Narrow" w:eastAsia="Times New Roman" w:hAnsi="Arial Narrow" w:cs="Calibri"/>
          <w:b/>
          <w:bCs/>
          <w:i/>
          <w:iCs/>
          <w:color w:val="800080"/>
          <w:sz w:val="24"/>
          <w:szCs w:val="24"/>
          <w:u w:val="single"/>
          <w:vertAlign w:val="superscript"/>
          <w:lang w:eastAsia="es-CR"/>
        </w:rPr>
        <w:t>[2]</w:t>
      </w:r>
      <w:r w:rsidRPr="00017EE6">
        <w:rPr>
          <w:rFonts w:ascii="Arial Narrow" w:eastAsia="Times New Roman" w:hAnsi="Arial Narrow" w:cs="Calibri"/>
          <w:i/>
          <w:iCs/>
          <w:color w:val="000000"/>
          <w:sz w:val="24"/>
          <w:szCs w:val="24"/>
          <w:lang w:eastAsia="es-CR"/>
        </w:rPr>
        <w:fldChar w:fldCharType="end"/>
      </w:r>
      <w:bookmarkEnd w:id="1"/>
    </w:p>
    <w:p w:rsidR="00017EE6" w:rsidRPr="00017EE6" w:rsidRDefault="00017EE6" w:rsidP="00017EE6">
      <w:pPr>
        <w:spacing w:line="240" w:lineRule="auto"/>
        <w:ind w:left="709"/>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En este sentido, la aplicación de una presunción supone la verificación de tres elementos</w:t>
      </w:r>
      <w:bookmarkStart w:id="2" w:name="_ftnref3"/>
      <w:r w:rsidRPr="00017EE6">
        <w:rPr>
          <w:rFonts w:ascii="Arial Narrow" w:eastAsia="Times New Roman" w:hAnsi="Arial Narrow" w:cs="Calibri"/>
          <w:color w:val="000000"/>
          <w:sz w:val="24"/>
          <w:szCs w:val="24"/>
          <w:lang w:eastAsia="es-CR"/>
        </w:rPr>
        <w:fldChar w:fldCharType="begin"/>
      </w:r>
      <w:r w:rsidRPr="00017EE6">
        <w:rPr>
          <w:rFonts w:ascii="Arial Narrow" w:eastAsia="Times New Roman" w:hAnsi="Arial Narrow" w:cs="Calibri"/>
          <w:color w:val="000000"/>
          <w:sz w:val="24"/>
          <w:szCs w:val="24"/>
          <w:lang w:eastAsia="es-CR"/>
        </w:rPr>
        <w:instrText xml:space="preserve"> HYPERLINK "http://196.40.56.20/DOCUWEB/1/INCREMENTOPATRIMONIALNOJUSTIFICADO.html" \l "_ftn3" \o "" </w:instrText>
      </w:r>
      <w:r w:rsidRPr="00017EE6">
        <w:rPr>
          <w:rFonts w:ascii="Arial Narrow" w:eastAsia="Times New Roman" w:hAnsi="Arial Narrow" w:cs="Calibri"/>
          <w:color w:val="000000"/>
          <w:sz w:val="24"/>
          <w:szCs w:val="24"/>
          <w:lang w:eastAsia="es-CR"/>
        </w:rPr>
        <w:fldChar w:fldCharType="separate"/>
      </w:r>
      <w:r w:rsidRPr="00017EE6">
        <w:rPr>
          <w:rFonts w:ascii="Arial Narrow" w:eastAsia="Times New Roman" w:hAnsi="Arial Narrow" w:cs="Calibri"/>
          <w:color w:val="800080"/>
          <w:sz w:val="24"/>
          <w:szCs w:val="24"/>
          <w:u w:val="single"/>
          <w:vertAlign w:val="superscript"/>
          <w:lang w:eastAsia="es-CR"/>
        </w:rPr>
        <w:t>[3]</w:t>
      </w:r>
      <w:r w:rsidRPr="00017EE6">
        <w:rPr>
          <w:rFonts w:ascii="Arial Narrow" w:eastAsia="Times New Roman" w:hAnsi="Arial Narrow" w:cs="Calibri"/>
          <w:color w:val="000000"/>
          <w:sz w:val="24"/>
          <w:szCs w:val="24"/>
          <w:lang w:eastAsia="es-CR"/>
        </w:rPr>
        <w:fldChar w:fldCharType="end"/>
      </w:r>
      <w:bookmarkEnd w:id="2"/>
      <w:r w:rsidRPr="00017EE6">
        <w:rPr>
          <w:rFonts w:ascii="Arial Narrow" w:eastAsia="Times New Roman" w:hAnsi="Arial Narrow" w:cs="Calibri"/>
          <w:color w:val="000000"/>
          <w:sz w:val="24"/>
          <w:szCs w:val="24"/>
          <w:lang w:eastAsia="es-CR"/>
        </w:rPr>
        <w:t>:</w:t>
      </w:r>
    </w:p>
    <w:p w:rsidR="00017EE6" w:rsidRPr="00017EE6" w:rsidRDefault="00017EE6" w:rsidP="00017EE6">
      <w:pPr>
        <w:spacing w:before="240" w:after="0" w:line="240" w:lineRule="auto"/>
        <w:ind w:left="709"/>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a)</w:t>
      </w:r>
      <w:r w:rsidRPr="00017EE6">
        <w:rPr>
          <w:rFonts w:ascii="Times New Roman" w:eastAsia="Times New Roman" w:hAnsi="Times New Roman" w:cs="Times New Roman"/>
          <w:color w:val="000000"/>
          <w:sz w:val="14"/>
          <w:szCs w:val="14"/>
          <w:lang w:eastAsia="es-CR"/>
        </w:rPr>
        <w:t>                 </w:t>
      </w:r>
      <w:r w:rsidRPr="00017EE6">
        <w:rPr>
          <w:rFonts w:ascii="Times New Roman" w:eastAsia="Times New Roman" w:hAnsi="Times New Roman" w:cs="Times New Roman"/>
          <w:color w:val="000000"/>
          <w:sz w:val="14"/>
          <w:lang w:eastAsia="es-CR"/>
        </w:rPr>
        <w:t> </w:t>
      </w:r>
      <w:r w:rsidRPr="00017EE6">
        <w:rPr>
          <w:rFonts w:ascii="Arial Narrow" w:eastAsia="Times New Roman" w:hAnsi="Arial Narrow" w:cs="Calibri"/>
          <w:color w:val="000000"/>
          <w:sz w:val="24"/>
          <w:szCs w:val="24"/>
          <w:lang w:eastAsia="es-CR"/>
        </w:rPr>
        <w:t>Un hecho cierto, el cual es completamente acreditado y debe ser revelador del hecho presumido. En estos casos, igualmente se puede aplicar la utilización de indicios</w:t>
      </w:r>
      <w:r w:rsidRPr="00017EE6">
        <w:rPr>
          <w:rFonts w:ascii="Arial Narrow" w:eastAsia="Times New Roman" w:hAnsi="Arial Narrow" w:cs="Calibri"/>
          <w:b/>
          <w:bCs/>
          <w:color w:val="C00000"/>
          <w:sz w:val="24"/>
          <w:szCs w:val="24"/>
          <w:lang w:eastAsia="es-CR"/>
        </w:rPr>
        <w:t> </w:t>
      </w:r>
      <w:r w:rsidRPr="00017EE6">
        <w:rPr>
          <w:rFonts w:ascii="Arial Narrow" w:eastAsia="Times New Roman" w:hAnsi="Arial Narrow" w:cs="Calibri"/>
          <w:color w:val="000000"/>
          <w:sz w:val="24"/>
          <w:szCs w:val="24"/>
          <w:lang w:eastAsia="es-CR"/>
        </w:rPr>
        <w:t>que permitan inferir el hecho presumido.</w:t>
      </w:r>
    </w:p>
    <w:p w:rsidR="00017EE6" w:rsidRPr="00017EE6" w:rsidRDefault="00017EE6" w:rsidP="00017EE6">
      <w:pPr>
        <w:spacing w:before="240" w:after="0" w:line="240" w:lineRule="auto"/>
        <w:ind w:left="709"/>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 </w:t>
      </w:r>
    </w:p>
    <w:p w:rsidR="00017EE6" w:rsidRPr="00017EE6" w:rsidRDefault="00017EE6" w:rsidP="00017EE6">
      <w:pPr>
        <w:spacing w:before="240" w:after="0" w:line="240" w:lineRule="auto"/>
        <w:ind w:left="709"/>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b)</w:t>
      </w:r>
      <w:r w:rsidRPr="00017EE6">
        <w:rPr>
          <w:rFonts w:ascii="Times New Roman" w:eastAsia="Times New Roman" w:hAnsi="Times New Roman" w:cs="Times New Roman"/>
          <w:color w:val="000000"/>
          <w:sz w:val="14"/>
          <w:szCs w:val="14"/>
          <w:lang w:eastAsia="es-CR"/>
        </w:rPr>
        <w:t>                 </w:t>
      </w:r>
      <w:r w:rsidRPr="00017EE6">
        <w:rPr>
          <w:rFonts w:ascii="Times New Roman" w:eastAsia="Times New Roman" w:hAnsi="Times New Roman" w:cs="Times New Roman"/>
          <w:color w:val="000000"/>
          <w:sz w:val="14"/>
          <w:lang w:eastAsia="es-CR"/>
        </w:rPr>
        <w:t> </w:t>
      </w:r>
      <w:r w:rsidRPr="00017EE6">
        <w:rPr>
          <w:rFonts w:ascii="Arial Narrow" w:eastAsia="Times New Roman" w:hAnsi="Arial Narrow" w:cs="Calibri"/>
          <w:color w:val="000000"/>
          <w:sz w:val="24"/>
          <w:szCs w:val="24"/>
          <w:lang w:eastAsia="es-CR"/>
        </w:rPr>
        <w:t>Un hecho presumido, que nace de la deducción con el hecho cierto, mediante la aplicación de un nexo lógico o relación de causalidad.</w:t>
      </w:r>
    </w:p>
    <w:p w:rsidR="00017EE6" w:rsidRPr="00017EE6" w:rsidRDefault="00017EE6" w:rsidP="00017EE6">
      <w:pPr>
        <w:spacing w:after="0" w:line="240" w:lineRule="auto"/>
        <w:ind w:left="709"/>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 </w:t>
      </w:r>
    </w:p>
    <w:p w:rsidR="00017EE6" w:rsidRPr="00017EE6" w:rsidRDefault="00017EE6" w:rsidP="00017EE6">
      <w:pPr>
        <w:spacing w:before="240" w:after="0" w:line="240" w:lineRule="auto"/>
        <w:ind w:left="709"/>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c)</w:t>
      </w:r>
      <w:r w:rsidRPr="00017EE6">
        <w:rPr>
          <w:rFonts w:ascii="Times New Roman" w:eastAsia="Times New Roman" w:hAnsi="Times New Roman" w:cs="Times New Roman"/>
          <w:color w:val="000000"/>
          <w:sz w:val="14"/>
          <w:szCs w:val="14"/>
          <w:lang w:eastAsia="es-CR"/>
        </w:rPr>
        <w:t>                 </w:t>
      </w:r>
      <w:r w:rsidRPr="00017EE6">
        <w:rPr>
          <w:rFonts w:ascii="Times New Roman" w:eastAsia="Times New Roman" w:hAnsi="Times New Roman" w:cs="Times New Roman"/>
          <w:color w:val="000000"/>
          <w:sz w:val="14"/>
          <w:lang w:eastAsia="es-CR"/>
        </w:rPr>
        <w:t> </w:t>
      </w:r>
      <w:r w:rsidRPr="00017EE6">
        <w:rPr>
          <w:rFonts w:ascii="Arial Narrow" w:eastAsia="Times New Roman" w:hAnsi="Arial Narrow" w:cs="Calibri"/>
          <w:color w:val="000000"/>
          <w:sz w:val="24"/>
          <w:szCs w:val="24"/>
          <w:lang w:eastAsia="es-CR"/>
        </w:rPr>
        <w:t>Un nexo lógico entre ambos, entendido como la relación de causalidad o inferencia que se obtiene del hecho cierto para establecer el hecho presumido, y se convierte en presunciones con enlace racional irrefutable.</w:t>
      </w:r>
    </w:p>
    <w:p w:rsidR="00017EE6" w:rsidRPr="00017EE6" w:rsidRDefault="00017EE6" w:rsidP="00017EE6">
      <w:pPr>
        <w:spacing w:before="240" w:after="0" w:line="240" w:lineRule="auto"/>
        <w:ind w:left="709"/>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 </w:t>
      </w:r>
    </w:p>
    <w:p w:rsidR="00017EE6" w:rsidRPr="00017EE6" w:rsidRDefault="00017EE6" w:rsidP="00017EE6">
      <w:pPr>
        <w:spacing w:line="240" w:lineRule="auto"/>
        <w:ind w:left="709"/>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En el caso del Orden Jurídico Tributario Costarricense, la forma de determinación de la obligación tributaria que surge de un incremento patrimonial no justificado, debe regirse por los parámetros que caracterizan a las presunciones legales.</w:t>
      </w:r>
    </w:p>
    <w:p w:rsidR="00017EE6" w:rsidRPr="00017EE6" w:rsidRDefault="00017EE6" w:rsidP="00017EE6">
      <w:pPr>
        <w:spacing w:line="240" w:lineRule="auto"/>
        <w:ind w:left="709"/>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Como su nombre revela, las presunciones legales son aquellas establecidas en la ley, que tienen el efecto típico de:</w:t>
      </w:r>
    </w:p>
    <w:p w:rsidR="00017EE6" w:rsidRPr="00017EE6" w:rsidRDefault="00017EE6" w:rsidP="00017EE6">
      <w:pPr>
        <w:spacing w:line="240" w:lineRule="auto"/>
        <w:ind w:left="850" w:right="850"/>
        <w:jc w:val="both"/>
        <w:rPr>
          <w:rFonts w:ascii="Calibri" w:eastAsia="Times New Roman" w:hAnsi="Calibri" w:cs="Calibri"/>
          <w:color w:val="000000"/>
          <w:lang w:eastAsia="es-CR"/>
        </w:rPr>
      </w:pPr>
      <w:r w:rsidRPr="00017EE6">
        <w:rPr>
          <w:rFonts w:ascii="Arial Narrow" w:eastAsia="Times New Roman" w:hAnsi="Arial Narrow" w:cs="Calibri"/>
          <w:i/>
          <w:iCs/>
          <w:color w:val="000000"/>
          <w:sz w:val="24"/>
          <w:szCs w:val="24"/>
          <w:lang w:eastAsia="es-CR"/>
        </w:rPr>
        <w:t>“(…) desplazar la carga de la prueba en favor de una de las partes en un proceso o en un procedimiento, y tal desplazamiento puede ser tal que no admita prueba en contrario, como sucede en las presunciones absolutas o iuris et de iure. Cuando sí se admite la prueba tendiente a destruir el hecho presumido, la presunción se llama relativa o iuris tantum. La prueba se refiere en ambos casos al hecho presumido y no al que le sirve de soporte, pues sobre este segundo siempre se admite la prueba, aún en las presunciones absolutas (…)”</w:t>
      </w:r>
      <w:bookmarkStart w:id="3" w:name="_ftnref4"/>
      <w:r w:rsidRPr="00017EE6">
        <w:rPr>
          <w:rFonts w:ascii="Arial Narrow" w:eastAsia="Times New Roman" w:hAnsi="Arial Narrow" w:cs="Calibri"/>
          <w:i/>
          <w:iCs/>
          <w:color w:val="000000"/>
          <w:sz w:val="24"/>
          <w:szCs w:val="24"/>
          <w:lang w:eastAsia="es-CR"/>
        </w:rPr>
        <w:fldChar w:fldCharType="begin"/>
      </w:r>
      <w:r w:rsidRPr="00017EE6">
        <w:rPr>
          <w:rFonts w:ascii="Arial Narrow" w:eastAsia="Times New Roman" w:hAnsi="Arial Narrow" w:cs="Calibri"/>
          <w:i/>
          <w:iCs/>
          <w:color w:val="000000"/>
          <w:sz w:val="24"/>
          <w:szCs w:val="24"/>
          <w:lang w:eastAsia="es-CR"/>
        </w:rPr>
        <w:instrText xml:space="preserve"> HYPERLINK "http://196.40.56.20/DOCUWEB/1/INCREMENTOPATRIMONIALNOJUSTIFICADO.html" \l "_ftn4" \o "" </w:instrText>
      </w:r>
      <w:r w:rsidRPr="00017EE6">
        <w:rPr>
          <w:rFonts w:ascii="Arial Narrow" w:eastAsia="Times New Roman" w:hAnsi="Arial Narrow" w:cs="Calibri"/>
          <w:i/>
          <w:iCs/>
          <w:color w:val="000000"/>
          <w:sz w:val="24"/>
          <w:szCs w:val="24"/>
          <w:lang w:eastAsia="es-CR"/>
        </w:rPr>
        <w:fldChar w:fldCharType="separate"/>
      </w:r>
      <w:r w:rsidRPr="00017EE6">
        <w:rPr>
          <w:rFonts w:ascii="Arial Narrow" w:eastAsia="Times New Roman" w:hAnsi="Arial Narrow" w:cs="Calibri"/>
          <w:b/>
          <w:bCs/>
          <w:i/>
          <w:iCs/>
          <w:color w:val="800080"/>
          <w:sz w:val="24"/>
          <w:szCs w:val="24"/>
          <w:u w:val="single"/>
          <w:vertAlign w:val="superscript"/>
          <w:lang w:eastAsia="es-CR"/>
        </w:rPr>
        <w:t>[4]</w:t>
      </w:r>
      <w:r w:rsidRPr="00017EE6">
        <w:rPr>
          <w:rFonts w:ascii="Arial Narrow" w:eastAsia="Times New Roman" w:hAnsi="Arial Narrow" w:cs="Calibri"/>
          <w:i/>
          <w:iCs/>
          <w:color w:val="000000"/>
          <w:sz w:val="24"/>
          <w:szCs w:val="24"/>
          <w:lang w:eastAsia="es-CR"/>
        </w:rPr>
        <w:fldChar w:fldCharType="end"/>
      </w:r>
      <w:bookmarkEnd w:id="3"/>
    </w:p>
    <w:p w:rsidR="00017EE6" w:rsidRPr="00017EE6" w:rsidRDefault="00017EE6" w:rsidP="00017EE6">
      <w:pPr>
        <w:spacing w:after="0" w:line="240" w:lineRule="auto"/>
        <w:ind w:left="170" w:right="51" w:firstLine="480"/>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lastRenderedPageBreak/>
        <w:t>Tomando en consideración los hechos expuestos y las normas citadas, la Dirección General de Tributación, divulga el siguiente:</w:t>
      </w:r>
    </w:p>
    <w:p w:rsidR="00017EE6" w:rsidRPr="00017EE6" w:rsidRDefault="00017EE6" w:rsidP="00017EE6">
      <w:pPr>
        <w:spacing w:after="0" w:line="240" w:lineRule="auto"/>
        <w:ind w:left="170" w:right="51" w:firstLine="709"/>
        <w:jc w:val="both"/>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 </w:t>
      </w:r>
    </w:p>
    <w:p w:rsidR="00017EE6" w:rsidRPr="00017EE6" w:rsidRDefault="00017EE6" w:rsidP="00017EE6">
      <w:pPr>
        <w:spacing w:after="0" w:line="240" w:lineRule="auto"/>
        <w:ind w:left="170" w:right="51" w:firstLine="709"/>
        <w:jc w:val="both"/>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 </w:t>
      </w:r>
    </w:p>
    <w:p w:rsidR="00017EE6" w:rsidRPr="00017EE6" w:rsidRDefault="00017EE6" w:rsidP="00017EE6">
      <w:pPr>
        <w:spacing w:after="0" w:line="240" w:lineRule="auto"/>
        <w:ind w:left="170" w:right="51" w:firstLine="709"/>
        <w:jc w:val="center"/>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CRITERIO INSTITUCIONAL</w:t>
      </w:r>
    </w:p>
    <w:p w:rsidR="00017EE6" w:rsidRPr="00017EE6" w:rsidRDefault="00017EE6" w:rsidP="00017EE6">
      <w:pPr>
        <w:spacing w:after="0" w:line="240" w:lineRule="auto"/>
        <w:ind w:left="170" w:right="51" w:firstLine="709"/>
        <w:jc w:val="center"/>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Sobre el incremento patrimonial no justificado</w:t>
      </w:r>
    </w:p>
    <w:p w:rsidR="00017EE6" w:rsidRPr="00017EE6" w:rsidRDefault="00017EE6" w:rsidP="00017EE6">
      <w:pPr>
        <w:spacing w:after="0" w:line="240" w:lineRule="auto"/>
        <w:ind w:left="170" w:right="51" w:firstLine="709"/>
        <w:jc w:val="both"/>
        <w:rPr>
          <w:rFonts w:ascii="Calibri" w:eastAsia="Times New Roman" w:hAnsi="Calibri" w:cs="Calibri"/>
          <w:color w:val="000000"/>
          <w:lang w:eastAsia="es-CR"/>
        </w:rPr>
      </w:pPr>
      <w:r w:rsidRPr="00017EE6">
        <w:rPr>
          <w:rFonts w:ascii="Arial Narrow" w:eastAsia="Times New Roman" w:hAnsi="Arial Narrow" w:cs="Calibri"/>
          <w:color w:val="5F497A"/>
          <w:sz w:val="24"/>
          <w:szCs w:val="24"/>
          <w:lang w:eastAsia="es-CR"/>
        </w:rPr>
        <w:t> </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1.-</w:t>
      </w:r>
      <w:r w:rsidRPr="00017EE6">
        <w:rPr>
          <w:rFonts w:ascii="Arial Narrow" w:eastAsia="Times New Roman" w:hAnsi="Arial Narrow" w:cs="Calibri"/>
          <w:color w:val="000000"/>
          <w:sz w:val="24"/>
          <w:szCs w:val="24"/>
          <w:lang w:eastAsia="es-CR"/>
        </w:rPr>
        <w:t> </w:t>
      </w:r>
      <w:r w:rsidRPr="00017EE6">
        <w:rPr>
          <w:rFonts w:ascii="Arial Narrow" w:eastAsia="Times New Roman" w:hAnsi="Arial Narrow" w:cs="Calibri"/>
          <w:b/>
          <w:bCs/>
          <w:color w:val="000000"/>
          <w:sz w:val="24"/>
          <w:szCs w:val="24"/>
          <w:lang w:eastAsia="es-CR"/>
        </w:rPr>
        <w:t>Concepto:</w:t>
      </w:r>
    </w:p>
    <w:p w:rsidR="00017EE6" w:rsidRPr="00017EE6" w:rsidRDefault="00017EE6" w:rsidP="00017EE6">
      <w:pPr>
        <w:spacing w:after="0" w:line="240" w:lineRule="auto"/>
        <w:ind w:firstLine="708"/>
        <w:jc w:val="both"/>
        <w:rPr>
          <w:rFonts w:ascii="Times New Roman" w:eastAsia="Times New Roman" w:hAnsi="Times New Roman" w:cs="Times New Roman"/>
          <w:color w:val="000000"/>
          <w:sz w:val="24"/>
          <w:szCs w:val="24"/>
          <w:lang w:eastAsia="es-CR"/>
        </w:rPr>
      </w:pPr>
      <w:r w:rsidRPr="00017EE6">
        <w:rPr>
          <w:rFonts w:ascii="Arial Narrow" w:eastAsia="Times New Roman" w:hAnsi="Arial Narrow" w:cs="Times New Roman"/>
          <w:color w:val="000000"/>
          <w:sz w:val="24"/>
          <w:szCs w:val="24"/>
          <w:lang w:eastAsia="es-CR"/>
        </w:rPr>
        <w:t>Para una mayor comprensión de este instituto, resulta necesario acudir a la definición que han ensayado los tratadistas españoles, Simón Acosta y Pablo Chico de la Cámara:</w:t>
      </w:r>
    </w:p>
    <w:p w:rsidR="00017EE6" w:rsidRPr="00017EE6" w:rsidRDefault="00017EE6" w:rsidP="00017EE6">
      <w:pPr>
        <w:spacing w:after="0" w:line="240" w:lineRule="auto"/>
        <w:ind w:firstLine="708"/>
        <w:jc w:val="both"/>
        <w:rPr>
          <w:rFonts w:ascii="Times New Roman" w:eastAsia="Times New Roman" w:hAnsi="Times New Roman" w:cs="Times New Roman"/>
          <w:color w:val="000000"/>
          <w:sz w:val="24"/>
          <w:szCs w:val="24"/>
          <w:lang w:eastAsia="es-CR"/>
        </w:rPr>
      </w:pPr>
      <w:r w:rsidRPr="00017EE6">
        <w:rPr>
          <w:rFonts w:ascii="Arial Narrow" w:eastAsia="Times New Roman" w:hAnsi="Arial Narrow" w:cs="Times New Roman"/>
          <w:color w:val="000000"/>
          <w:sz w:val="24"/>
          <w:szCs w:val="24"/>
          <w:lang w:eastAsia="es-CR"/>
        </w:rPr>
        <w:t> </w:t>
      </w:r>
    </w:p>
    <w:p w:rsidR="00017EE6" w:rsidRPr="00017EE6" w:rsidRDefault="00017EE6" w:rsidP="00017EE6">
      <w:pPr>
        <w:spacing w:after="0" w:line="240" w:lineRule="auto"/>
        <w:ind w:left="709" w:right="899" w:hanging="1"/>
        <w:jc w:val="both"/>
        <w:rPr>
          <w:rFonts w:ascii="Times New Roman" w:eastAsia="Times New Roman" w:hAnsi="Times New Roman" w:cs="Times New Roman"/>
          <w:color w:val="000000"/>
          <w:sz w:val="24"/>
          <w:szCs w:val="24"/>
          <w:lang w:eastAsia="es-CR"/>
        </w:rPr>
      </w:pPr>
      <w:r w:rsidRPr="00017EE6">
        <w:rPr>
          <w:rFonts w:ascii="Arial Narrow" w:eastAsia="Times New Roman" w:hAnsi="Arial Narrow" w:cs="Times New Roman"/>
          <w:i/>
          <w:iCs/>
          <w:color w:val="000000"/>
          <w:sz w:val="24"/>
          <w:szCs w:val="24"/>
          <w:lang w:eastAsia="es-CR"/>
        </w:rPr>
        <w:t>“Los incrementos no justificados de patrimonio son una institución jurídica en virtud de la cual se da el tratamiento de renta gravable en el IRPF (y, en su caso, en el IS) a los elementos patrimoniales poseídos por el contribuyente que no se corresponden con las fuentes de financiación aparentemente disponibles para adquirir tales bienes.”</w:t>
      </w:r>
      <w:bookmarkStart w:id="4" w:name="_ftnref5"/>
      <w:r w:rsidRPr="00017EE6">
        <w:rPr>
          <w:rFonts w:ascii="Arial Narrow" w:eastAsia="Times New Roman" w:hAnsi="Arial Narrow" w:cs="Times New Roman"/>
          <w:i/>
          <w:iCs/>
          <w:color w:val="000000"/>
          <w:sz w:val="24"/>
          <w:szCs w:val="24"/>
          <w:lang w:eastAsia="es-CR"/>
        </w:rPr>
        <w:fldChar w:fldCharType="begin"/>
      </w:r>
      <w:r w:rsidRPr="00017EE6">
        <w:rPr>
          <w:rFonts w:ascii="Arial Narrow" w:eastAsia="Times New Roman" w:hAnsi="Arial Narrow" w:cs="Times New Roman"/>
          <w:i/>
          <w:iCs/>
          <w:color w:val="000000"/>
          <w:sz w:val="24"/>
          <w:szCs w:val="24"/>
          <w:lang w:eastAsia="es-CR"/>
        </w:rPr>
        <w:instrText xml:space="preserve"> HYPERLINK "http://196.40.56.20/DOCUWEB/1/INCREMENTOPATRIMONIALNOJUSTIFICADO.html" \l "_ftn5" \o "" </w:instrText>
      </w:r>
      <w:r w:rsidRPr="00017EE6">
        <w:rPr>
          <w:rFonts w:ascii="Arial Narrow" w:eastAsia="Times New Roman" w:hAnsi="Arial Narrow" w:cs="Times New Roman"/>
          <w:i/>
          <w:iCs/>
          <w:color w:val="000000"/>
          <w:sz w:val="24"/>
          <w:szCs w:val="24"/>
          <w:lang w:eastAsia="es-CR"/>
        </w:rPr>
        <w:fldChar w:fldCharType="separate"/>
      </w:r>
      <w:r w:rsidRPr="00017EE6">
        <w:rPr>
          <w:rFonts w:ascii="Arial Narrow" w:eastAsia="Times New Roman" w:hAnsi="Arial Narrow" w:cs="Times New Roman"/>
          <w:b/>
          <w:bCs/>
          <w:i/>
          <w:iCs/>
          <w:color w:val="800080"/>
          <w:sz w:val="24"/>
          <w:szCs w:val="24"/>
          <w:u w:val="single"/>
          <w:vertAlign w:val="superscript"/>
          <w:lang w:eastAsia="es-CR"/>
        </w:rPr>
        <w:t>[5]</w:t>
      </w:r>
      <w:r w:rsidRPr="00017EE6">
        <w:rPr>
          <w:rFonts w:ascii="Arial Narrow" w:eastAsia="Times New Roman" w:hAnsi="Arial Narrow" w:cs="Times New Roman"/>
          <w:i/>
          <w:iCs/>
          <w:color w:val="000000"/>
          <w:sz w:val="24"/>
          <w:szCs w:val="24"/>
          <w:lang w:eastAsia="es-CR"/>
        </w:rPr>
        <w:fldChar w:fldCharType="end"/>
      </w:r>
      <w:bookmarkEnd w:id="4"/>
    </w:p>
    <w:p w:rsidR="00017EE6" w:rsidRPr="00017EE6" w:rsidRDefault="00017EE6" w:rsidP="00017EE6">
      <w:pPr>
        <w:spacing w:after="0" w:line="240" w:lineRule="auto"/>
        <w:ind w:firstLine="708"/>
        <w:jc w:val="both"/>
        <w:rPr>
          <w:rFonts w:ascii="Times New Roman" w:eastAsia="Times New Roman" w:hAnsi="Times New Roman" w:cs="Times New Roman"/>
          <w:color w:val="000000"/>
          <w:sz w:val="24"/>
          <w:szCs w:val="24"/>
          <w:lang w:eastAsia="es-CR"/>
        </w:rPr>
      </w:pPr>
      <w:r w:rsidRPr="00017EE6">
        <w:rPr>
          <w:rFonts w:ascii="Arial Narrow" w:eastAsia="Times New Roman" w:hAnsi="Arial Narrow" w:cs="Times New Roman"/>
          <w:color w:val="000000"/>
          <w:sz w:val="24"/>
          <w:szCs w:val="24"/>
          <w:lang w:eastAsia="es-CR"/>
        </w:rPr>
        <w:t> </w:t>
      </w:r>
    </w:p>
    <w:p w:rsidR="00017EE6" w:rsidRPr="00017EE6" w:rsidRDefault="00017EE6" w:rsidP="00017EE6">
      <w:pPr>
        <w:spacing w:after="0" w:line="240" w:lineRule="auto"/>
        <w:ind w:left="709" w:right="899" w:hanging="1"/>
        <w:jc w:val="both"/>
        <w:rPr>
          <w:rFonts w:ascii="Times New Roman" w:eastAsia="Times New Roman" w:hAnsi="Times New Roman" w:cs="Times New Roman"/>
          <w:color w:val="000000"/>
          <w:sz w:val="24"/>
          <w:szCs w:val="24"/>
          <w:lang w:eastAsia="es-CR"/>
        </w:rPr>
      </w:pPr>
      <w:r w:rsidRPr="00017EE6">
        <w:rPr>
          <w:rFonts w:ascii="Arial Narrow" w:eastAsia="Times New Roman" w:hAnsi="Arial Narrow" w:cs="Times New Roman"/>
          <w:i/>
          <w:iCs/>
          <w:color w:val="000000"/>
          <w:sz w:val="24"/>
          <w:szCs w:val="24"/>
          <w:lang w:eastAsia="es-CR"/>
        </w:rPr>
        <w:t>“(…) Las ganancias no justificadas de patrimonio aparecen en nuestro sistema tributario como una materia gravada, un elemento que unido a otros –como rendimientos de trabajo, de capital, de actividades económicas, ganancias de patrimonio y de imputaciones de rentas- configuran el hecho imponible del IRPF. Estamos, en definitiva, ante un expediente técnico mediante el cual el legislador confiere la calificación de renta “actual” a una renta o a rentas “presuntas y pretéritas”.  Las ganancias no justificadas acreditan necesariamente la existencia de unos componentes de la renta gravada en el IRPF, obtenidos por el contribuyente en periodos coetáneos o anteriores a las adquisiciones patrimoniales de bienes, deudas o al dinero oculto, siendo materialmente imposible adscribirlos a determinada fuente de renta.”</w:t>
      </w:r>
      <w:bookmarkStart w:id="5" w:name="_ftnref6"/>
      <w:r w:rsidRPr="00017EE6">
        <w:rPr>
          <w:rFonts w:ascii="Arial Narrow" w:eastAsia="Times New Roman" w:hAnsi="Arial Narrow" w:cs="Times New Roman"/>
          <w:i/>
          <w:iCs/>
          <w:color w:val="000000"/>
          <w:sz w:val="24"/>
          <w:szCs w:val="24"/>
          <w:lang w:eastAsia="es-CR"/>
        </w:rPr>
        <w:fldChar w:fldCharType="begin"/>
      </w:r>
      <w:r w:rsidRPr="00017EE6">
        <w:rPr>
          <w:rFonts w:ascii="Arial Narrow" w:eastAsia="Times New Roman" w:hAnsi="Arial Narrow" w:cs="Times New Roman"/>
          <w:i/>
          <w:iCs/>
          <w:color w:val="000000"/>
          <w:sz w:val="24"/>
          <w:szCs w:val="24"/>
          <w:lang w:eastAsia="es-CR"/>
        </w:rPr>
        <w:instrText xml:space="preserve"> HYPERLINK "http://196.40.56.20/DOCUWEB/1/INCREMENTOPATRIMONIALNOJUSTIFICADO.html" \l "_ftn6" \o "" </w:instrText>
      </w:r>
      <w:r w:rsidRPr="00017EE6">
        <w:rPr>
          <w:rFonts w:ascii="Arial Narrow" w:eastAsia="Times New Roman" w:hAnsi="Arial Narrow" w:cs="Times New Roman"/>
          <w:i/>
          <w:iCs/>
          <w:color w:val="000000"/>
          <w:sz w:val="24"/>
          <w:szCs w:val="24"/>
          <w:lang w:eastAsia="es-CR"/>
        </w:rPr>
        <w:fldChar w:fldCharType="separate"/>
      </w:r>
      <w:r w:rsidRPr="00017EE6">
        <w:rPr>
          <w:rFonts w:ascii="Arial Narrow" w:eastAsia="Times New Roman" w:hAnsi="Arial Narrow" w:cs="Times New Roman"/>
          <w:b/>
          <w:bCs/>
          <w:i/>
          <w:iCs/>
          <w:color w:val="800080"/>
          <w:sz w:val="24"/>
          <w:szCs w:val="24"/>
          <w:u w:val="single"/>
          <w:vertAlign w:val="superscript"/>
          <w:lang w:eastAsia="es-CR"/>
        </w:rPr>
        <w:t>[6]</w:t>
      </w:r>
      <w:r w:rsidRPr="00017EE6">
        <w:rPr>
          <w:rFonts w:ascii="Arial Narrow" w:eastAsia="Times New Roman" w:hAnsi="Arial Narrow" w:cs="Times New Roman"/>
          <w:i/>
          <w:iCs/>
          <w:color w:val="000000"/>
          <w:sz w:val="24"/>
          <w:szCs w:val="24"/>
          <w:lang w:eastAsia="es-CR"/>
        </w:rPr>
        <w:fldChar w:fldCharType="end"/>
      </w:r>
      <w:bookmarkEnd w:id="5"/>
    </w:p>
    <w:p w:rsidR="00017EE6" w:rsidRPr="00017EE6" w:rsidRDefault="00017EE6" w:rsidP="00017EE6">
      <w:pPr>
        <w:spacing w:after="0" w:line="240" w:lineRule="auto"/>
        <w:ind w:left="709" w:right="899" w:hanging="1"/>
        <w:jc w:val="both"/>
        <w:rPr>
          <w:rFonts w:ascii="Times New Roman" w:eastAsia="Times New Roman" w:hAnsi="Times New Roman" w:cs="Times New Roman"/>
          <w:color w:val="000000"/>
          <w:sz w:val="24"/>
          <w:szCs w:val="24"/>
          <w:lang w:eastAsia="es-CR"/>
        </w:rPr>
      </w:pPr>
      <w:r w:rsidRPr="00017EE6">
        <w:rPr>
          <w:rFonts w:ascii="Arial Narrow" w:eastAsia="Times New Roman" w:hAnsi="Arial Narrow" w:cs="Times New Roman"/>
          <w:b/>
          <w:bCs/>
          <w:i/>
          <w:iCs/>
          <w:color w:val="000000"/>
          <w:sz w:val="24"/>
          <w:szCs w:val="24"/>
          <w:lang w:eastAsia="es-CR"/>
        </w:rPr>
        <w:t> </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 xml:space="preserve">De la definición antes indicada se puede inferir que es necesario que se detecte la </w:t>
      </w:r>
      <w:proofErr w:type="spellStart"/>
      <w:r w:rsidRPr="00017EE6">
        <w:rPr>
          <w:rFonts w:ascii="Arial Narrow" w:eastAsia="Times New Roman" w:hAnsi="Arial Narrow" w:cs="Calibri"/>
          <w:color w:val="000000"/>
          <w:sz w:val="24"/>
          <w:szCs w:val="24"/>
          <w:lang w:eastAsia="es-CR"/>
        </w:rPr>
        <w:t>afloración</w:t>
      </w:r>
      <w:proofErr w:type="spellEnd"/>
      <w:r w:rsidRPr="00017EE6">
        <w:rPr>
          <w:rFonts w:ascii="Arial Narrow" w:eastAsia="Times New Roman" w:hAnsi="Arial Narrow" w:cs="Calibri"/>
          <w:color w:val="000000"/>
          <w:sz w:val="24"/>
          <w:szCs w:val="24"/>
          <w:lang w:eastAsia="es-CR"/>
        </w:rPr>
        <w:t xml:space="preserve"> de un incremento en el patrimonio del sujeto pasivo, que puede tener distintas manifestaciones, para que la Administración Tributaria, quede facultada para atraer hacia la renta gravable todas aquellas rentas, bienes o elementos patrimoniales, que no se declararon, o que no se demuestre su origen; salvo que el contribuyente demuestre que los fondos para su financiamiento proceden de ingresos exentos, de ingresos que no están gravados con el impuesto a las utilidades o de ingresos que ya fueron declarados. El hecho de que el dueño no pueda justificar el origen o fuente de financiamiento de un activo, lo constituye en un incremento patrimonial no justificado. Es decir, la ley otorga a esos elementos patrimoniales no registrados, o registrados en forma indirecta, una presunción que los atrae a la renta bruta, obligando al sujeto pasivo a demostrar el origen de tal incremento.</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En el Ordenamiento Jurídico Costarricense, dicha figura se establece en los artículos 5 de la Ley del Impuesto sobre la Renta –en adelante LIR- y 8 de su Reglamento, dentro del capítulo denominado “</w:t>
      </w:r>
      <w:r w:rsidRPr="00017EE6">
        <w:rPr>
          <w:rFonts w:ascii="Arial Narrow" w:eastAsia="Times New Roman" w:hAnsi="Arial Narrow" w:cs="Calibri"/>
          <w:i/>
          <w:iCs/>
          <w:color w:val="000000"/>
          <w:sz w:val="24"/>
          <w:szCs w:val="24"/>
          <w:lang w:eastAsia="es-CR"/>
        </w:rPr>
        <w:t>De la determinación de la base imponible</w:t>
      </w:r>
      <w:r w:rsidRPr="00017EE6">
        <w:rPr>
          <w:rFonts w:ascii="Arial Narrow" w:eastAsia="Times New Roman" w:hAnsi="Arial Narrow" w:cs="Calibri"/>
          <w:color w:val="000000"/>
          <w:sz w:val="24"/>
          <w:szCs w:val="24"/>
          <w:lang w:eastAsia="es-CR"/>
        </w:rPr>
        <w:t>”, específicamente lo que se constituye como “</w:t>
      </w:r>
      <w:r w:rsidRPr="00017EE6">
        <w:rPr>
          <w:rFonts w:ascii="Arial Narrow" w:eastAsia="Times New Roman" w:hAnsi="Arial Narrow" w:cs="Calibri"/>
          <w:i/>
          <w:iCs/>
          <w:color w:val="000000"/>
          <w:sz w:val="24"/>
          <w:szCs w:val="24"/>
          <w:lang w:eastAsia="es-CR"/>
        </w:rPr>
        <w:t>renta bruta</w:t>
      </w:r>
      <w:r w:rsidRPr="00017EE6">
        <w:rPr>
          <w:rFonts w:ascii="Arial Narrow" w:eastAsia="Times New Roman" w:hAnsi="Arial Narrow" w:cs="Calibri"/>
          <w:color w:val="000000"/>
          <w:sz w:val="24"/>
          <w:szCs w:val="24"/>
          <w:lang w:eastAsia="es-CR"/>
        </w:rPr>
        <w:t>”.</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 xml:space="preserve">El artículo 5 de referencia, establece que todos aquellos incrementos patrimoniales que no tengan su justificación en ingresos ya registrados y declarados, serán considerados como parte integrante de la </w:t>
      </w:r>
      <w:r w:rsidRPr="00017EE6">
        <w:rPr>
          <w:rFonts w:ascii="Arial Narrow" w:eastAsia="Times New Roman" w:hAnsi="Arial Narrow" w:cs="Calibri"/>
          <w:color w:val="000000"/>
          <w:sz w:val="24"/>
          <w:szCs w:val="24"/>
          <w:lang w:eastAsia="es-CR"/>
        </w:rPr>
        <w:lastRenderedPageBreak/>
        <w:t>renta bruta. Dicho en otras palabras, debe contar con documentos probatorios sobre el origen de tal incremento.</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2.- Naturaleza jurídica:</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El instituto del incremento patrimonial injustificado, se revela como una presunción legal, es decir, a través de la ley (artículo 5 de la LIR), la Administración Tributaria puede realizar la determinación de la base imponible del impuesto sobre las utilidades, considerando como renta bruta un incremento en el patrimonio del contribuyente, cuando el contribuyente no pueda justificar su origen con los respectivos respaldos documentales.</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En general, para poder aplicar una presunción de tipo legal, debe primero cumplirse con los requisitos o presupuestos que la misma ley exige.  A saber:</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a.-</w:t>
      </w:r>
      <w:r w:rsidRPr="00017EE6">
        <w:rPr>
          <w:rFonts w:ascii="Arial Narrow" w:eastAsia="Times New Roman" w:hAnsi="Arial Narrow" w:cs="Calibri"/>
          <w:color w:val="000000"/>
          <w:sz w:val="24"/>
          <w:szCs w:val="24"/>
          <w:lang w:eastAsia="es-CR"/>
        </w:rPr>
        <w:t> Lo que se está presumiendo es que debe gravarse como renta bruta todo incremento de patrimonio que no esté debidamente justificado en la fuente que lo origina.</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b.-</w:t>
      </w:r>
      <w:r w:rsidRPr="00017EE6">
        <w:rPr>
          <w:rFonts w:ascii="Arial Narrow" w:eastAsia="Times New Roman" w:hAnsi="Arial Narrow" w:cs="Calibri"/>
          <w:color w:val="000000"/>
          <w:sz w:val="24"/>
          <w:szCs w:val="24"/>
          <w:lang w:eastAsia="es-CR"/>
        </w:rPr>
        <w:t> Debe existir prueba que demuestre que procede aplicar la presunción.</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c.-</w:t>
      </w:r>
      <w:r w:rsidRPr="00017EE6">
        <w:rPr>
          <w:rFonts w:ascii="Arial Narrow" w:eastAsia="Times New Roman" w:hAnsi="Arial Narrow" w:cs="Calibri"/>
          <w:color w:val="000000"/>
          <w:sz w:val="24"/>
          <w:szCs w:val="24"/>
          <w:lang w:eastAsia="es-CR"/>
        </w:rPr>
        <w:t> Esta presunción legal admite prueba en contrario, lo que en doctrina se conoce como “</w:t>
      </w:r>
      <w:r w:rsidRPr="00017EE6">
        <w:rPr>
          <w:rFonts w:ascii="Arial Narrow" w:eastAsia="Times New Roman" w:hAnsi="Arial Narrow" w:cs="Calibri"/>
          <w:i/>
          <w:iCs/>
          <w:color w:val="000000"/>
          <w:sz w:val="24"/>
          <w:szCs w:val="24"/>
          <w:lang w:eastAsia="es-CR"/>
        </w:rPr>
        <w:t>iuris tantum”.</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Es claro entonces que esta norma no se aplica en forma automática, es decir, para llegar a aplicarse debe primero demostrar y nunca presumir, la existencia del incremento patrimonial como tal. En este sentido, lo único que se presume es el efecto jurídico de gravar en el impuesto a las utilidades, un incremento patrimonial que no se logró justificar en rentas ya declaradas, no sujetas o exentas.</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Así, la presunción de que todo incremento de patrimonio no justificado es gravable, nunca podrá partir de un hecho incierto o presunto, sino que la Administración Tributaria debe demostrar en forma certera que cuenta con las pruebas que permitan concluir que existe un incremento patrimonial, y al ser no justificado por el sujeto pasivo, procede aplicar la presunción legal.</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3.- Aplicación de la norma jurídica tributaria: </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Como es característico en las presunciones legales establecidas en la LIR, es requisito indispensable para aplicarla, partir de hechos ciertos y demostrados, según exige la citada norma jurídica. Para ello, debe partirse de pruebas idóneas </w:t>
      </w:r>
      <w:bookmarkStart w:id="6" w:name="_ftnref7"/>
      <w:r w:rsidRPr="00017EE6">
        <w:rPr>
          <w:rFonts w:ascii="Arial Narrow" w:eastAsia="Times New Roman" w:hAnsi="Arial Narrow" w:cs="Calibri"/>
          <w:color w:val="000000"/>
          <w:sz w:val="24"/>
          <w:szCs w:val="24"/>
          <w:lang w:eastAsia="es-CR"/>
        </w:rPr>
        <w:fldChar w:fldCharType="begin"/>
      </w:r>
      <w:r w:rsidRPr="00017EE6">
        <w:rPr>
          <w:rFonts w:ascii="Arial Narrow" w:eastAsia="Times New Roman" w:hAnsi="Arial Narrow" w:cs="Calibri"/>
          <w:color w:val="000000"/>
          <w:sz w:val="24"/>
          <w:szCs w:val="24"/>
          <w:lang w:eastAsia="es-CR"/>
        </w:rPr>
        <w:instrText xml:space="preserve"> HYPERLINK "http://196.40.56.20/DOCUWEB/1/INCREMENTOPATRIMONIALNOJUSTIFICADO.html" \l "_ftn7" \o "" </w:instrText>
      </w:r>
      <w:r w:rsidRPr="00017EE6">
        <w:rPr>
          <w:rFonts w:ascii="Arial Narrow" w:eastAsia="Times New Roman" w:hAnsi="Arial Narrow" w:cs="Calibri"/>
          <w:color w:val="000000"/>
          <w:sz w:val="24"/>
          <w:szCs w:val="24"/>
          <w:lang w:eastAsia="es-CR"/>
        </w:rPr>
        <w:fldChar w:fldCharType="separate"/>
      </w:r>
      <w:r w:rsidRPr="00017EE6">
        <w:rPr>
          <w:rFonts w:ascii="Arial Narrow" w:eastAsia="Times New Roman" w:hAnsi="Arial Narrow" w:cs="Calibri"/>
          <w:color w:val="800080"/>
          <w:sz w:val="24"/>
          <w:szCs w:val="24"/>
          <w:u w:val="single"/>
          <w:vertAlign w:val="superscript"/>
          <w:lang w:eastAsia="es-CR"/>
        </w:rPr>
        <w:t>[7]</w:t>
      </w:r>
      <w:r w:rsidRPr="00017EE6">
        <w:rPr>
          <w:rFonts w:ascii="Arial Narrow" w:eastAsia="Times New Roman" w:hAnsi="Arial Narrow" w:cs="Calibri"/>
          <w:color w:val="000000"/>
          <w:sz w:val="24"/>
          <w:szCs w:val="24"/>
          <w:lang w:eastAsia="es-CR"/>
        </w:rPr>
        <w:fldChar w:fldCharType="end"/>
      </w:r>
      <w:bookmarkEnd w:id="6"/>
      <w:r w:rsidRPr="00017EE6">
        <w:rPr>
          <w:rFonts w:ascii="Arial Narrow" w:eastAsia="Times New Roman" w:hAnsi="Arial Narrow" w:cs="Calibri"/>
          <w:color w:val="000000"/>
          <w:sz w:val="24"/>
          <w:szCs w:val="24"/>
          <w:lang w:eastAsia="es-CR"/>
        </w:rPr>
        <w:t> que ineludiblemente conlleven a demostrar que se ha incurrido  en los supuestos jurídicos de tal presunción. En el caso del artículo 5 de la LIR, el efecto jurídico es gravar un incremento que se presume deviene de la generación de rentas gravables omitidas (ver artículo 8 del Reglamento a la LIR). </w:t>
      </w:r>
      <w:bookmarkStart w:id="7" w:name="_ftnref8"/>
      <w:r w:rsidRPr="00017EE6">
        <w:rPr>
          <w:rFonts w:ascii="Arial Narrow" w:eastAsia="Times New Roman" w:hAnsi="Arial Narrow" w:cs="Calibri"/>
          <w:color w:val="000000"/>
          <w:sz w:val="24"/>
          <w:szCs w:val="24"/>
          <w:lang w:eastAsia="es-CR"/>
        </w:rPr>
        <w:fldChar w:fldCharType="begin"/>
      </w:r>
      <w:r w:rsidRPr="00017EE6">
        <w:rPr>
          <w:rFonts w:ascii="Arial Narrow" w:eastAsia="Times New Roman" w:hAnsi="Arial Narrow" w:cs="Calibri"/>
          <w:color w:val="000000"/>
          <w:sz w:val="24"/>
          <w:szCs w:val="24"/>
          <w:lang w:eastAsia="es-CR"/>
        </w:rPr>
        <w:instrText xml:space="preserve"> HYPERLINK "http://196.40.56.20/DOCUWEB/1/INCREMENTOPATRIMONIALNOJUSTIFICADO.html" \l "_ftn8" \o "" </w:instrText>
      </w:r>
      <w:r w:rsidRPr="00017EE6">
        <w:rPr>
          <w:rFonts w:ascii="Arial Narrow" w:eastAsia="Times New Roman" w:hAnsi="Arial Narrow" w:cs="Calibri"/>
          <w:color w:val="000000"/>
          <w:sz w:val="24"/>
          <w:szCs w:val="24"/>
          <w:lang w:eastAsia="es-CR"/>
        </w:rPr>
        <w:fldChar w:fldCharType="separate"/>
      </w:r>
      <w:r w:rsidRPr="00017EE6">
        <w:rPr>
          <w:rFonts w:ascii="Arial Narrow" w:eastAsia="Times New Roman" w:hAnsi="Arial Narrow" w:cs="Calibri"/>
          <w:color w:val="000000"/>
          <w:sz w:val="24"/>
          <w:szCs w:val="24"/>
          <w:u w:val="single"/>
          <w:vertAlign w:val="superscript"/>
          <w:lang w:eastAsia="es-CR"/>
        </w:rPr>
        <w:t>[8]</w:t>
      </w:r>
      <w:r w:rsidRPr="00017EE6">
        <w:rPr>
          <w:rFonts w:ascii="Arial Narrow" w:eastAsia="Times New Roman" w:hAnsi="Arial Narrow" w:cs="Calibri"/>
          <w:color w:val="000000"/>
          <w:sz w:val="24"/>
          <w:szCs w:val="24"/>
          <w:lang w:eastAsia="es-CR"/>
        </w:rPr>
        <w:fldChar w:fldCharType="end"/>
      </w:r>
      <w:bookmarkEnd w:id="7"/>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Así, como conclusión de una  investigación realizada por la Administración Tributaria, se puede presentar la situación de que se determine un incremento de patrimonio, hecho cierto y demostrado. El incremento no justificado de capital surge cuando el contribuyente no pueda comprobar su  origen específico.</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La Administración Tributaria debe demostrar que el incrementó afloró, y que es incoherente con la declaración presentada, es decir, que no corresponde con los resultados declarados. Precisamente el incremento no justificado surge cuando el contribuyente no logra justificar su origen.</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lastRenderedPageBreak/>
        <w:t>De esta manera, ante la incerteza de imputar el incremento a la obligación tributaria, la ley presume que dicho incremento constituye rentas gravables no declaradas como tales.</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Previamente a la aplicación de esta norma jurídica la carga de la prueba le compete tanto a la Administración Tributaria como al sujeto pasivo, dependiendo de la etapa procesal administrativa en la que se encuentre (artículos 5 de la LIR y 19 del Reglamento General de Gestión, Fiscalización y Recaudación Tributaria).</w:t>
      </w:r>
      <w:bookmarkStart w:id="8" w:name="_ftnref9"/>
      <w:r w:rsidRPr="00017EE6">
        <w:rPr>
          <w:rFonts w:ascii="Arial Narrow" w:eastAsia="Times New Roman" w:hAnsi="Arial Narrow" w:cs="Calibri"/>
          <w:color w:val="000000"/>
          <w:sz w:val="24"/>
          <w:szCs w:val="24"/>
          <w:lang w:eastAsia="es-CR"/>
        </w:rPr>
        <w:fldChar w:fldCharType="begin"/>
      </w:r>
      <w:r w:rsidRPr="00017EE6">
        <w:rPr>
          <w:rFonts w:ascii="Arial Narrow" w:eastAsia="Times New Roman" w:hAnsi="Arial Narrow" w:cs="Calibri"/>
          <w:color w:val="000000"/>
          <w:sz w:val="24"/>
          <w:szCs w:val="24"/>
          <w:lang w:eastAsia="es-CR"/>
        </w:rPr>
        <w:instrText xml:space="preserve"> HYPERLINK "http://196.40.56.20/DOCUWEB/1/INCREMENTOPATRIMONIALNOJUSTIFICADO.html" \l "_ftn9" \o "" </w:instrText>
      </w:r>
      <w:r w:rsidRPr="00017EE6">
        <w:rPr>
          <w:rFonts w:ascii="Arial Narrow" w:eastAsia="Times New Roman" w:hAnsi="Arial Narrow" w:cs="Calibri"/>
          <w:color w:val="000000"/>
          <w:sz w:val="24"/>
          <w:szCs w:val="24"/>
          <w:lang w:eastAsia="es-CR"/>
        </w:rPr>
        <w:fldChar w:fldCharType="separate"/>
      </w:r>
      <w:r w:rsidRPr="00017EE6">
        <w:rPr>
          <w:rFonts w:ascii="Arial Narrow" w:eastAsia="Times New Roman" w:hAnsi="Arial Narrow" w:cs="Calibri"/>
          <w:color w:val="000000"/>
          <w:sz w:val="24"/>
          <w:szCs w:val="24"/>
          <w:u w:val="single"/>
          <w:vertAlign w:val="superscript"/>
          <w:lang w:eastAsia="es-CR"/>
        </w:rPr>
        <w:t>[9]</w:t>
      </w:r>
      <w:r w:rsidRPr="00017EE6">
        <w:rPr>
          <w:rFonts w:ascii="Arial Narrow" w:eastAsia="Times New Roman" w:hAnsi="Arial Narrow" w:cs="Calibri"/>
          <w:color w:val="000000"/>
          <w:sz w:val="24"/>
          <w:szCs w:val="24"/>
          <w:lang w:eastAsia="es-CR"/>
        </w:rPr>
        <w:fldChar w:fldCharType="end"/>
      </w:r>
      <w:bookmarkEnd w:id="8"/>
      <w:r w:rsidRPr="00017EE6">
        <w:rPr>
          <w:rFonts w:ascii="Arial Narrow" w:eastAsia="Times New Roman" w:hAnsi="Arial Narrow" w:cs="Calibri"/>
          <w:color w:val="000000"/>
          <w:sz w:val="24"/>
          <w:szCs w:val="24"/>
          <w:lang w:eastAsia="es-CR"/>
        </w:rPr>
        <w:t>  Al respecto, es de mérito reiterar que ésta es una presunción iuris tantum</w:t>
      </w:r>
      <w:bookmarkStart w:id="9" w:name="_ftnref10"/>
      <w:r w:rsidRPr="00017EE6">
        <w:rPr>
          <w:rFonts w:ascii="Arial Narrow" w:eastAsia="Times New Roman" w:hAnsi="Arial Narrow" w:cs="Calibri"/>
          <w:color w:val="000000"/>
          <w:sz w:val="24"/>
          <w:szCs w:val="24"/>
          <w:lang w:eastAsia="es-CR"/>
        </w:rPr>
        <w:fldChar w:fldCharType="begin"/>
      </w:r>
      <w:r w:rsidRPr="00017EE6">
        <w:rPr>
          <w:rFonts w:ascii="Arial Narrow" w:eastAsia="Times New Roman" w:hAnsi="Arial Narrow" w:cs="Calibri"/>
          <w:color w:val="000000"/>
          <w:sz w:val="24"/>
          <w:szCs w:val="24"/>
          <w:lang w:eastAsia="es-CR"/>
        </w:rPr>
        <w:instrText xml:space="preserve"> HYPERLINK "http://196.40.56.20/DOCUWEB/1/INCREMENTOPATRIMONIALNOJUSTIFICADO.html" \l "_ftn10" \o "" </w:instrText>
      </w:r>
      <w:r w:rsidRPr="00017EE6">
        <w:rPr>
          <w:rFonts w:ascii="Arial Narrow" w:eastAsia="Times New Roman" w:hAnsi="Arial Narrow" w:cs="Calibri"/>
          <w:color w:val="000000"/>
          <w:sz w:val="24"/>
          <w:szCs w:val="24"/>
          <w:lang w:eastAsia="es-CR"/>
        </w:rPr>
        <w:fldChar w:fldCharType="separate"/>
      </w:r>
      <w:r w:rsidRPr="00017EE6">
        <w:rPr>
          <w:rFonts w:ascii="Arial Narrow" w:eastAsia="Times New Roman" w:hAnsi="Arial Narrow" w:cs="Calibri"/>
          <w:color w:val="000000"/>
          <w:sz w:val="24"/>
          <w:szCs w:val="24"/>
          <w:u w:val="single"/>
          <w:vertAlign w:val="superscript"/>
          <w:lang w:eastAsia="es-CR"/>
        </w:rPr>
        <w:t>[10]</w:t>
      </w:r>
      <w:r w:rsidRPr="00017EE6">
        <w:rPr>
          <w:rFonts w:ascii="Arial Narrow" w:eastAsia="Times New Roman" w:hAnsi="Arial Narrow" w:cs="Calibri"/>
          <w:color w:val="000000"/>
          <w:sz w:val="24"/>
          <w:szCs w:val="24"/>
          <w:lang w:eastAsia="es-CR"/>
        </w:rPr>
        <w:fldChar w:fldCharType="end"/>
      </w:r>
      <w:bookmarkEnd w:id="9"/>
      <w:r w:rsidRPr="00017EE6">
        <w:rPr>
          <w:rFonts w:ascii="Arial Narrow" w:eastAsia="Times New Roman" w:hAnsi="Arial Narrow" w:cs="Calibri"/>
          <w:color w:val="000000"/>
          <w:sz w:val="24"/>
          <w:szCs w:val="24"/>
          <w:lang w:eastAsia="es-CR"/>
        </w:rPr>
        <w:t>.</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A la Administración Tributaria le compete probar la existencia o afloramiento de un incremento en el capital, y posteriormente la carga de la prueba le corresponde al sujeto pasivo, debido a que debe demostrar la fuente o procedencia de ese incremento de capital.</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Antes de llegar a la conclusión de que un incremento patrimonial es gravable, debe demostrarse y nunca presumirse, los siguientes hechos:</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3.1.- Hechos conocidos, ciertos o hecho base (no presuntos):</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Los hechos que prueban el surgimiento de un incremento de patrimonio le corresponde demostrarlo a la Administración Tributaria y constituyen argumentos que deben partir de prueba fehaciente, no presumida sino cierta. Por ejemplo, la Administración Tributaria debe probar la existencia de un activo oculto, cuya titularidad es del sujeto pasivo, o determinar la subvaluación de un activo, posteriormente le corresponde al contribuyente demostrar la fuente u origen de los recursos que justifiquen el aumento de su patrimonio. Si el contribuyente no logra demostrar que dichos recursos se originaron en rentas declaradas, en rentas exentas, en rentas no sujetas o prescritas, el patrimonio determinado constituye un incremento no justificado de patrimonio.</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Por otra parte, cuando el aumento de activos declarados, según los registros contables, fueron financiados por ejemplo, por medio de pasivos o un aumento de capital accionario, y la Administración Tributaria demuestra la falsedad de estos últimos, ese incremento de capital manifestado en los activos, resulta no justificado, y se grava como tal, por cuanto se considera que el pasivo o capital accionario falso no es más que un instrumento para ocultar el incremento patrimonial.</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Tanto los hechos como la prueba sobre el surgimiento del incremento de patrimonio, el cual no fue justificado por el contribuyente, deben demostrarse por la Administración Tributaria, ya sea a través de un traslado de cargos determinativo dirigido al sujeto pasivo; o mediante la denuncia penal que se presente,  si el incremento determinado incurre dentro del tipo penal establecido en el artículo 92 del Código de Normas y Procedimientos Tributarios</w:t>
      </w:r>
      <w:r w:rsidRPr="00017EE6">
        <w:rPr>
          <w:rFonts w:ascii="Arial Narrow" w:eastAsia="Times New Roman" w:hAnsi="Arial Narrow" w:cs="Calibri"/>
          <w:b/>
          <w:bCs/>
          <w:color w:val="C00000"/>
          <w:sz w:val="24"/>
          <w:szCs w:val="24"/>
          <w:lang w:eastAsia="es-CR"/>
        </w:rPr>
        <w:t>.</w:t>
      </w:r>
      <w:r w:rsidRPr="00017EE6">
        <w:rPr>
          <w:rFonts w:ascii="Arial Narrow" w:eastAsia="Times New Roman" w:hAnsi="Arial Narrow" w:cs="Calibri"/>
          <w:color w:val="000000"/>
          <w:sz w:val="24"/>
          <w:szCs w:val="24"/>
          <w:lang w:eastAsia="es-CR"/>
        </w:rPr>
        <w:t> </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3.1.1.- Existencia de un incremento patrimonial:</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La Administración Tributaria debe demostrar, en los casos de un activo oculto,  que este elemento patrimonial está representado por un monto cierto y cuantificable, que refleje diferencias entre los montos declarados y el patrimonio real determinado en el procedimiento administrativo. En términos generales, cuando se presenta un incremento patrimonial no justificado se produce una inconsistencia en la ecuación contable o patrimonial</w:t>
      </w:r>
      <w:bookmarkStart w:id="10" w:name="_ftnref11"/>
      <w:r w:rsidRPr="00017EE6">
        <w:rPr>
          <w:rFonts w:ascii="Arial Narrow" w:eastAsia="Times New Roman" w:hAnsi="Arial Narrow" w:cs="Calibri"/>
          <w:color w:val="000000"/>
          <w:sz w:val="24"/>
          <w:szCs w:val="24"/>
          <w:lang w:eastAsia="es-CR"/>
        </w:rPr>
        <w:fldChar w:fldCharType="begin"/>
      </w:r>
      <w:r w:rsidRPr="00017EE6">
        <w:rPr>
          <w:rFonts w:ascii="Arial Narrow" w:eastAsia="Times New Roman" w:hAnsi="Arial Narrow" w:cs="Calibri"/>
          <w:color w:val="000000"/>
          <w:sz w:val="24"/>
          <w:szCs w:val="24"/>
          <w:lang w:eastAsia="es-CR"/>
        </w:rPr>
        <w:instrText xml:space="preserve"> HYPERLINK "http://196.40.56.20/DOCUWEB/1/INCREMENTOPATRIMONIALNOJUSTIFICADO.html" \l "_ftn11" \o "" </w:instrText>
      </w:r>
      <w:r w:rsidRPr="00017EE6">
        <w:rPr>
          <w:rFonts w:ascii="Arial Narrow" w:eastAsia="Times New Roman" w:hAnsi="Arial Narrow" w:cs="Calibri"/>
          <w:color w:val="000000"/>
          <w:sz w:val="24"/>
          <w:szCs w:val="24"/>
          <w:lang w:eastAsia="es-CR"/>
        </w:rPr>
        <w:fldChar w:fldCharType="separate"/>
      </w:r>
      <w:r w:rsidRPr="00017EE6">
        <w:rPr>
          <w:rFonts w:ascii="Arial Narrow" w:eastAsia="Times New Roman" w:hAnsi="Arial Narrow" w:cs="Calibri"/>
          <w:color w:val="800080"/>
          <w:sz w:val="24"/>
          <w:szCs w:val="24"/>
          <w:u w:val="single"/>
          <w:vertAlign w:val="superscript"/>
          <w:lang w:eastAsia="es-CR"/>
        </w:rPr>
        <w:t>[11]</w:t>
      </w:r>
      <w:r w:rsidRPr="00017EE6">
        <w:rPr>
          <w:rFonts w:ascii="Arial Narrow" w:eastAsia="Times New Roman" w:hAnsi="Arial Narrow" w:cs="Calibri"/>
          <w:color w:val="000000"/>
          <w:sz w:val="24"/>
          <w:szCs w:val="24"/>
          <w:lang w:eastAsia="es-CR"/>
        </w:rPr>
        <w:fldChar w:fldCharType="end"/>
      </w:r>
      <w:bookmarkEnd w:id="10"/>
      <w:r w:rsidRPr="00017EE6">
        <w:rPr>
          <w:rFonts w:ascii="Arial Narrow" w:eastAsia="Times New Roman" w:hAnsi="Arial Narrow" w:cs="Calibri"/>
          <w:color w:val="000000"/>
          <w:sz w:val="24"/>
          <w:szCs w:val="24"/>
          <w:lang w:eastAsia="es-CR"/>
        </w:rPr>
        <w:t>, además de irregularidades en la contabilidad, por omisión de activos o defecto de los registros de pasivos y patrimonio.</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lastRenderedPageBreak/>
        <w:t>Asimismo, la Administración Tributaria debe establecer y demostrar quién es el titular de ese incremento patrimonial.</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 </w:t>
      </w:r>
      <w:r w:rsidRPr="00017EE6">
        <w:rPr>
          <w:rFonts w:ascii="Arial Narrow" w:eastAsia="Times New Roman" w:hAnsi="Arial Narrow" w:cs="Calibri"/>
          <w:b/>
          <w:bCs/>
          <w:color w:val="000000"/>
          <w:sz w:val="24"/>
          <w:szCs w:val="24"/>
          <w:lang w:eastAsia="es-CR"/>
        </w:rPr>
        <w:t>3.1.2.- Requerimiento al sujeto pasivo sobre el incremento determinado: </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Al constituir una presunción </w:t>
      </w:r>
      <w:r w:rsidRPr="00017EE6">
        <w:rPr>
          <w:rFonts w:ascii="Arial Narrow" w:eastAsia="Times New Roman" w:hAnsi="Arial Narrow" w:cs="Calibri"/>
          <w:i/>
          <w:iCs/>
          <w:color w:val="000000"/>
          <w:sz w:val="24"/>
          <w:szCs w:val="24"/>
          <w:lang w:eastAsia="es-CR"/>
        </w:rPr>
        <w:t>iuris tantum</w:t>
      </w:r>
      <w:r w:rsidRPr="00017EE6">
        <w:rPr>
          <w:rFonts w:ascii="Arial Narrow" w:eastAsia="Times New Roman" w:hAnsi="Arial Narrow" w:cs="Calibri"/>
          <w:color w:val="000000"/>
          <w:sz w:val="24"/>
          <w:szCs w:val="24"/>
          <w:lang w:eastAsia="es-CR"/>
        </w:rPr>
        <w:t>, la ley establece la posibilidad de admitir prueba en contrario, que justifique el incremento de patrimonio como no gravable. Para ello, antes de aplicar la norma jurídica la Administración Tributaria debe trasladar la carga de la prueba al titular del incremento y se le debe solicitar la justificación sobre el origen o fuente de tal incremento.</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El requerimiento no debe dirigirse a constatar la existencia del incremento de patrimonio, sino a conocer la fuente de recursos o de financiamiento que permitió generar ese incremento. La finalidad del requerimiento es determinar si los argumentos y prueba documental que aporte el contribuyente, justifican el incremento como rentas ya declaradas, no sujetas o exentas por ley.</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El contribuyente presentará o no argumentos y prueba en contrario. La Administración Tributaria deberá analizar los argumentos y pruebas aportados por el contribuyente.</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3.1.3.- Justificación del sujeto pasivo:</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El Art 5 LIR indica lo siguiente:</w:t>
      </w:r>
    </w:p>
    <w:p w:rsidR="00017EE6" w:rsidRPr="00017EE6" w:rsidRDefault="00017EE6" w:rsidP="00017EE6">
      <w:pPr>
        <w:spacing w:line="240" w:lineRule="auto"/>
        <w:ind w:left="851" w:right="851"/>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w:t>
      </w:r>
      <w:r w:rsidRPr="00017EE6">
        <w:rPr>
          <w:rFonts w:ascii="Arial Narrow" w:eastAsia="Times New Roman" w:hAnsi="Arial Narrow" w:cs="Calibri"/>
          <w:i/>
          <w:iCs/>
          <w:color w:val="000000"/>
          <w:sz w:val="24"/>
          <w:szCs w:val="24"/>
          <w:lang w:eastAsia="es-CR"/>
        </w:rPr>
        <w:t>Para estos fines, el contribuyente está obligado a demostrar el origen de tal incremento y además, que ha tributado de conformidad con las disposiciones legales aplicables al caso, o que está exento por ley; de lo contrario dicho incremento del patrimonio computará como renta bruta, en el momento que la Administración Tributaria lo determine, y afectará el período que corresponda, dentro del plazo de prescripción que establece el Código de Normas y Procedimientos Tributarios</w:t>
      </w:r>
      <w:r w:rsidRPr="00017EE6">
        <w:rPr>
          <w:rFonts w:ascii="Arial Narrow" w:eastAsia="Times New Roman" w:hAnsi="Arial Narrow" w:cs="Calibri"/>
          <w:color w:val="000000"/>
          <w:sz w:val="24"/>
          <w:szCs w:val="24"/>
          <w:lang w:eastAsia="es-CR"/>
        </w:rPr>
        <w:t>.”</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La prueba en contrario que desvirtúa  la presunción, no se respalda en meras justificaciones y argumentos, sino que debe estar sustentada en prueba documental que demuestre lo siguiente:</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a.- La fuente precisa que respalde, por ejemplo, la adquisición de dichos activos, la existencia real de los pasivos, o el aporte de capital que declara.  No constituye justificación, el demostrar únicamente la existencia del incremento patrimonial.</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b.- Que el incremento imputado por la Administración Tributaria ya fue declarado por el contribuyente conforme lo estipula la ley.</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c.- Que se presenta uno de los supuestos de exclusión –no sujeción- de la renta bruta, por ejemplo los establecidos en el artículo  6 de la LIR.</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d.- Es una renta exenta por ley. </w:t>
      </w:r>
      <w:bookmarkStart w:id="11" w:name="_ftnref12"/>
      <w:r w:rsidRPr="00017EE6">
        <w:rPr>
          <w:rFonts w:ascii="Arial Narrow" w:eastAsia="Times New Roman" w:hAnsi="Arial Narrow" w:cs="Calibri"/>
          <w:color w:val="000000"/>
          <w:sz w:val="24"/>
          <w:szCs w:val="24"/>
          <w:lang w:eastAsia="es-CR"/>
        </w:rPr>
        <w:fldChar w:fldCharType="begin"/>
      </w:r>
      <w:r w:rsidRPr="00017EE6">
        <w:rPr>
          <w:rFonts w:ascii="Arial Narrow" w:eastAsia="Times New Roman" w:hAnsi="Arial Narrow" w:cs="Calibri"/>
          <w:color w:val="000000"/>
          <w:sz w:val="24"/>
          <w:szCs w:val="24"/>
          <w:lang w:eastAsia="es-CR"/>
        </w:rPr>
        <w:instrText xml:space="preserve"> HYPERLINK "http://196.40.56.20/DOCUWEB/1/INCREMENTOPATRIMONIALNOJUSTIFICADO.html" \l "_ftn12" \o "" </w:instrText>
      </w:r>
      <w:r w:rsidRPr="00017EE6">
        <w:rPr>
          <w:rFonts w:ascii="Arial Narrow" w:eastAsia="Times New Roman" w:hAnsi="Arial Narrow" w:cs="Calibri"/>
          <w:color w:val="000000"/>
          <w:sz w:val="24"/>
          <w:szCs w:val="24"/>
          <w:lang w:eastAsia="es-CR"/>
        </w:rPr>
        <w:fldChar w:fldCharType="separate"/>
      </w:r>
      <w:r w:rsidRPr="00017EE6">
        <w:rPr>
          <w:rFonts w:ascii="Arial Narrow" w:eastAsia="Times New Roman" w:hAnsi="Arial Narrow" w:cs="Calibri"/>
          <w:color w:val="800080"/>
          <w:sz w:val="24"/>
          <w:szCs w:val="24"/>
          <w:u w:val="single"/>
          <w:vertAlign w:val="superscript"/>
          <w:lang w:eastAsia="es-CR"/>
        </w:rPr>
        <w:t>[12]</w:t>
      </w:r>
      <w:r w:rsidRPr="00017EE6">
        <w:rPr>
          <w:rFonts w:ascii="Arial Narrow" w:eastAsia="Times New Roman" w:hAnsi="Arial Narrow" w:cs="Calibri"/>
          <w:color w:val="000000"/>
          <w:sz w:val="24"/>
          <w:szCs w:val="24"/>
          <w:lang w:eastAsia="es-CR"/>
        </w:rPr>
        <w:fldChar w:fldCharType="end"/>
      </w:r>
      <w:bookmarkEnd w:id="11"/>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e.- Que la renta se produjo en un período prescrito.</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Una vez demostrada la existencia del incremento patrimonial, procede la aplicación de la consecuencia o efecto jurídico de la norma, denominado hecho consecuencia, según se expone a continuación.</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lastRenderedPageBreak/>
        <w:t>3.2.- Hecho consecuencia: La calificación del incremento patrimonial no justificado, como gravado:</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La doctrina menciona dos aspectos básicos a la hora de calificar un incremento como gravable:</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a.- Aspecto material. </w:t>
      </w:r>
      <w:r w:rsidRPr="00017EE6">
        <w:rPr>
          <w:rFonts w:ascii="Arial Narrow" w:eastAsia="Times New Roman" w:hAnsi="Arial Narrow" w:cs="Calibri"/>
          <w:color w:val="000000"/>
          <w:sz w:val="24"/>
          <w:szCs w:val="24"/>
          <w:lang w:eastAsia="es-CR"/>
        </w:rPr>
        <w:t>Para poder constituirse en un incremento no justificado de patrimonio, las pruebas que constan en el expediente deben llevar a concluir, por ejemplo, que la adquisición de activos, disminución de pasivos, o aumento en el capital accionario han sido financiados con renta no declarada</w:t>
      </w:r>
      <w:r w:rsidRPr="00017EE6">
        <w:rPr>
          <w:rFonts w:ascii="Arial Narrow" w:eastAsia="Times New Roman" w:hAnsi="Arial Narrow" w:cs="Calibri"/>
          <w:color w:val="365F91"/>
          <w:sz w:val="24"/>
          <w:szCs w:val="24"/>
          <w:lang w:eastAsia="es-CR"/>
        </w:rPr>
        <w:t>.</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b.- Aspecto temporal. </w:t>
      </w:r>
      <w:r w:rsidRPr="00017EE6">
        <w:rPr>
          <w:rFonts w:ascii="Arial Narrow" w:eastAsia="Times New Roman" w:hAnsi="Arial Narrow" w:cs="Calibri"/>
          <w:color w:val="000000"/>
          <w:sz w:val="24"/>
          <w:szCs w:val="24"/>
          <w:lang w:eastAsia="es-CR"/>
        </w:rPr>
        <w:t>La imputación de la renta debe dirigirse a períodos fiscales no prescritos.</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Según se menciona en el artículo 5 LIR:</w:t>
      </w:r>
    </w:p>
    <w:p w:rsidR="00017EE6" w:rsidRPr="00017EE6" w:rsidRDefault="00017EE6" w:rsidP="00017EE6">
      <w:pPr>
        <w:spacing w:line="240" w:lineRule="auto"/>
        <w:ind w:left="851" w:right="851"/>
        <w:jc w:val="both"/>
        <w:rPr>
          <w:rFonts w:ascii="Calibri" w:eastAsia="Times New Roman" w:hAnsi="Calibri" w:cs="Calibri"/>
          <w:color w:val="000000"/>
          <w:lang w:eastAsia="es-CR"/>
        </w:rPr>
      </w:pPr>
      <w:r w:rsidRPr="00017EE6">
        <w:rPr>
          <w:rFonts w:ascii="Arial Narrow" w:eastAsia="Times New Roman" w:hAnsi="Arial Narrow" w:cs="Calibri"/>
          <w:i/>
          <w:iCs/>
          <w:color w:val="000000"/>
          <w:sz w:val="24"/>
          <w:szCs w:val="24"/>
          <w:lang w:eastAsia="es-CR"/>
        </w:rPr>
        <w:t>“(…) dicho incremento del patrimonio se computará como renta bruta, en el momento en que la Administración Tributaria lo determine y afectará el período que corresponda, dentro del plazo de prescripción que establece el Código de Normas y Procedimientos Tributarios”.</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De esta manera, cuando se menciona que afectará el período que corresponda, se debe atribuir el incremento patrimonial al período en el cual se produjo, pero si no es posible determinar el período del surgimiento del incremento patrimonial no justificado, la ley establece que se debe imputar al período en que lo determine la Administración Tributaria, es decir al período o períodos sujetos a fiscalización, sin que ésta requiera establecer la fecha en que se incurrió en el ocultamiento de rentas que se presumen gravables, hecho que por sí constituye una carga de la prueba que la misma ley evita imponer, al resultar de difícil obtención. Ahora bien, en cuanto al término de prescripción se refiere, los incrementos injustificados de patrimonio deben someterse a lo dispuesto en el artículo 51 del Código de Normas y Procedimientos Tributarios, a saber, por 3 ó 5 años, según corresponda.</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c.- Calificación jurídica:</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Finalmente, la calificación jurídica debe contener las justificaciones que ameriten la aplicación de la norma:</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a.- La existencia de un incremento patrimonial determinado en el (los) período(s) fiscalizado(s), no prescrito(s).</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b.- Que ese incremento no se encuentra justificado en la declaración ni en sus comprobantes de respaldo.</w:t>
      </w:r>
      <w:bookmarkStart w:id="12" w:name="_ftnref13"/>
      <w:r w:rsidRPr="00017EE6">
        <w:rPr>
          <w:rFonts w:ascii="Calibri" w:eastAsia="Times New Roman" w:hAnsi="Calibri" w:cs="Calibri"/>
          <w:color w:val="000000"/>
          <w:lang w:eastAsia="es-CR"/>
        </w:rPr>
        <w:fldChar w:fldCharType="begin"/>
      </w:r>
      <w:r w:rsidRPr="00017EE6">
        <w:rPr>
          <w:rFonts w:ascii="Calibri" w:eastAsia="Times New Roman" w:hAnsi="Calibri" w:cs="Calibri"/>
          <w:color w:val="000000"/>
          <w:lang w:eastAsia="es-CR"/>
        </w:rPr>
        <w:instrText xml:space="preserve"> HYPERLINK "http://196.40.56.20/DOCUWEB/1/INCREMENTOPATRIMONIALNOJUSTIFICADO.html" \l "_ftn13" \o "" </w:instrText>
      </w:r>
      <w:r w:rsidRPr="00017EE6">
        <w:rPr>
          <w:rFonts w:ascii="Calibri" w:eastAsia="Times New Roman" w:hAnsi="Calibri" w:cs="Calibri"/>
          <w:color w:val="000000"/>
          <w:lang w:eastAsia="es-CR"/>
        </w:rPr>
        <w:fldChar w:fldCharType="separate"/>
      </w:r>
      <w:r w:rsidRPr="00017EE6">
        <w:rPr>
          <w:rFonts w:ascii="Arial Narrow" w:eastAsia="Times New Roman" w:hAnsi="Arial Narrow" w:cs="Calibri"/>
          <w:color w:val="800080"/>
          <w:sz w:val="20"/>
          <w:u w:val="single"/>
          <w:vertAlign w:val="superscript"/>
          <w:lang w:eastAsia="es-CR"/>
        </w:rPr>
        <w:t>[13]</w:t>
      </w:r>
      <w:r w:rsidRPr="00017EE6">
        <w:rPr>
          <w:rFonts w:ascii="Calibri" w:eastAsia="Times New Roman" w:hAnsi="Calibri" w:cs="Calibri"/>
          <w:color w:val="000000"/>
          <w:lang w:eastAsia="es-CR"/>
        </w:rPr>
        <w:fldChar w:fldCharType="end"/>
      </w:r>
      <w:bookmarkEnd w:id="12"/>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c.- Que el titular del incremento es el sujeto fiscalizado.</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d.- Que ante requerimiento, el fiscalizado no logró justificar el origen de la fuente que generó tal incremento patrimonial.</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e.- El tipo específico del incremento no justificado, por ejemplo, en su carácter de omisión de activos en la contabilidad o de adquisiciones onerosas, recepción y/o disposición de fondos sin respaldo material</w:t>
      </w:r>
      <w:bookmarkStart w:id="13" w:name="_ftnref14"/>
      <w:r w:rsidRPr="00017EE6">
        <w:rPr>
          <w:rFonts w:ascii="Arial Narrow" w:eastAsia="Times New Roman" w:hAnsi="Arial Narrow" w:cs="Calibri"/>
          <w:color w:val="000000"/>
          <w:sz w:val="24"/>
          <w:szCs w:val="24"/>
          <w:lang w:eastAsia="es-CR"/>
        </w:rPr>
        <w:fldChar w:fldCharType="begin"/>
      </w:r>
      <w:r w:rsidRPr="00017EE6">
        <w:rPr>
          <w:rFonts w:ascii="Arial Narrow" w:eastAsia="Times New Roman" w:hAnsi="Arial Narrow" w:cs="Calibri"/>
          <w:color w:val="000000"/>
          <w:sz w:val="24"/>
          <w:szCs w:val="24"/>
          <w:lang w:eastAsia="es-CR"/>
        </w:rPr>
        <w:instrText xml:space="preserve"> HYPERLINK "http://196.40.56.20/DOCUWEB/1/INCREMENTOPATRIMONIALNOJUSTIFICADO.html" \l "_ftn14" \o "" </w:instrText>
      </w:r>
      <w:r w:rsidRPr="00017EE6">
        <w:rPr>
          <w:rFonts w:ascii="Arial Narrow" w:eastAsia="Times New Roman" w:hAnsi="Arial Narrow" w:cs="Calibri"/>
          <w:color w:val="000000"/>
          <w:sz w:val="24"/>
          <w:szCs w:val="24"/>
          <w:lang w:eastAsia="es-CR"/>
        </w:rPr>
        <w:fldChar w:fldCharType="separate"/>
      </w:r>
      <w:r w:rsidRPr="00017EE6">
        <w:rPr>
          <w:rFonts w:ascii="Arial Narrow" w:eastAsia="Times New Roman" w:hAnsi="Arial Narrow" w:cs="Calibri"/>
          <w:color w:val="800080"/>
          <w:sz w:val="24"/>
          <w:szCs w:val="24"/>
          <w:u w:val="single"/>
          <w:vertAlign w:val="superscript"/>
          <w:lang w:eastAsia="es-CR"/>
        </w:rPr>
        <w:t>[14]</w:t>
      </w:r>
      <w:r w:rsidRPr="00017EE6">
        <w:rPr>
          <w:rFonts w:ascii="Arial Narrow" w:eastAsia="Times New Roman" w:hAnsi="Arial Narrow" w:cs="Calibri"/>
          <w:color w:val="000000"/>
          <w:sz w:val="24"/>
          <w:szCs w:val="24"/>
          <w:lang w:eastAsia="es-CR"/>
        </w:rPr>
        <w:fldChar w:fldCharType="end"/>
      </w:r>
      <w:bookmarkEnd w:id="13"/>
      <w:r w:rsidRPr="00017EE6">
        <w:rPr>
          <w:rFonts w:ascii="Arial Narrow" w:eastAsia="Times New Roman" w:hAnsi="Arial Narrow" w:cs="Calibri"/>
          <w:color w:val="000000"/>
          <w:sz w:val="24"/>
          <w:szCs w:val="24"/>
          <w:lang w:eastAsia="es-CR"/>
        </w:rPr>
        <w:t>.</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lastRenderedPageBreak/>
        <w:t>f.- Que el incremento no justificado de patrimonio sea financiado con rentas no declaradas y como tales, procede la aplicación de la presunción legal establecida en el artículo 5 LIR.</w:t>
      </w:r>
    </w:p>
    <w:p w:rsidR="00017EE6" w:rsidRPr="00017EE6" w:rsidRDefault="00017EE6" w:rsidP="00017EE6">
      <w:pPr>
        <w:spacing w:line="240" w:lineRule="auto"/>
        <w:jc w:val="both"/>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4.- Jurisprudencia:</w:t>
      </w:r>
    </w:p>
    <w:p w:rsidR="00017EE6" w:rsidRPr="00017EE6" w:rsidRDefault="00017EE6" w:rsidP="00017EE6">
      <w:pPr>
        <w:spacing w:after="0" w:line="240" w:lineRule="auto"/>
        <w:ind w:firstLine="709"/>
        <w:jc w:val="both"/>
        <w:rPr>
          <w:rFonts w:ascii="Times New Roman" w:eastAsia="Times New Roman" w:hAnsi="Times New Roman" w:cs="Times New Roman"/>
          <w:color w:val="000000"/>
          <w:sz w:val="24"/>
          <w:szCs w:val="24"/>
          <w:lang w:eastAsia="es-CR"/>
        </w:rPr>
      </w:pPr>
      <w:r w:rsidRPr="00017EE6">
        <w:rPr>
          <w:rFonts w:ascii="Arial Narrow" w:eastAsia="Times New Roman" w:hAnsi="Arial Narrow" w:cs="Times New Roman"/>
          <w:color w:val="000000"/>
          <w:sz w:val="24"/>
          <w:szCs w:val="24"/>
          <w:lang w:eastAsia="es-CR"/>
        </w:rPr>
        <w:t>La sentencia Nº 000585-F-S1-2008 de  las diez horas cuarenta y cinco minutos del veintinueve de agosto de dos mil ocho, según expediente Nº 02-000562-0161-CA, la Sala Primera de la Corte suprema de Justicia señaló lo siguiente:</w:t>
      </w:r>
    </w:p>
    <w:p w:rsidR="00017EE6" w:rsidRPr="00017EE6" w:rsidRDefault="00017EE6" w:rsidP="00017EE6">
      <w:pPr>
        <w:spacing w:after="0" w:line="240" w:lineRule="auto"/>
        <w:ind w:firstLine="709"/>
        <w:jc w:val="both"/>
        <w:rPr>
          <w:rFonts w:ascii="Times New Roman" w:eastAsia="Times New Roman" w:hAnsi="Times New Roman" w:cs="Times New Roman"/>
          <w:color w:val="000000"/>
          <w:sz w:val="24"/>
          <w:szCs w:val="24"/>
          <w:lang w:eastAsia="es-CR"/>
        </w:rPr>
      </w:pPr>
      <w:r w:rsidRPr="00017EE6">
        <w:rPr>
          <w:rFonts w:ascii="Arial Narrow" w:eastAsia="Times New Roman" w:hAnsi="Arial Narrow" w:cs="Times New Roman"/>
          <w:color w:val="000000"/>
          <w:sz w:val="24"/>
          <w:szCs w:val="24"/>
          <w:lang w:eastAsia="es-CR"/>
        </w:rPr>
        <w:t> </w:t>
      </w:r>
    </w:p>
    <w:p w:rsidR="00017EE6" w:rsidRPr="00017EE6" w:rsidRDefault="00017EE6" w:rsidP="00017EE6">
      <w:pPr>
        <w:spacing w:after="0" w:line="240" w:lineRule="auto"/>
        <w:ind w:left="709"/>
        <w:jc w:val="both"/>
        <w:rPr>
          <w:rFonts w:ascii="Times New Roman" w:eastAsia="Times New Roman" w:hAnsi="Times New Roman" w:cs="Times New Roman"/>
          <w:color w:val="000000"/>
          <w:sz w:val="24"/>
          <w:szCs w:val="24"/>
          <w:lang w:eastAsia="es-CR"/>
        </w:rPr>
      </w:pPr>
      <w:r w:rsidRPr="00017EE6">
        <w:rPr>
          <w:rFonts w:ascii="Arial Narrow" w:eastAsia="Times New Roman" w:hAnsi="Arial Narrow" w:cs="Times New Roman"/>
          <w:color w:val="000000"/>
          <w:sz w:val="24"/>
          <w:szCs w:val="24"/>
          <w:lang w:eastAsia="es-CR"/>
        </w:rPr>
        <w:t xml:space="preserve">“Redacta la Magistrada León </w:t>
      </w:r>
      <w:proofErr w:type="spellStart"/>
      <w:r w:rsidRPr="00017EE6">
        <w:rPr>
          <w:rFonts w:ascii="Arial Narrow" w:eastAsia="Times New Roman" w:hAnsi="Arial Narrow" w:cs="Times New Roman"/>
          <w:color w:val="000000"/>
          <w:sz w:val="24"/>
          <w:szCs w:val="24"/>
          <w:lang w:eastAsia="es-CR"/>
        </w:rPr>
        <w:t>Feoli</w:t>
      </w:r>
      <w:proofErr w:type="spellEnd"/>
    </w:p>
    <w:p w:rsidR="00017EE6" w:rsidRPr="00017EE6" w:rsidRDefault="00017EE6" w:rsidP="00017EE6">
      <w:pPr>
        <w:spacing w:after="0" w:line="240" w:lineRule="auto"/>
        <w:ind w:left="709"/>
        <w:jc w:val="both"/>
        <w:rPr>
          <w:rFonts w:ascii="Times New Roman" w:eastAsia="Times New Roman" w:hAnsi="Times New Roman" w:cs="Times New Roman"/>
          <w:color w:val="000000"/>
          <w:sz w:val="24"/>
          <w:szCs w:val="24"/>
          <w:lang w:eastAsia="es-CR"/>
        </w:rPr>
      </w:pPr>
      <w:r w:rsidRPr="00017EE6">
        <w:rPr>
          <w:rFonts w:ascii="Arial Narrow" w:eastAsia="Times New Roman" w:hAnsi="Arial Narrow" w:cs="Times New Roman"/>
          <w:color w:val="000000"/>
          <w:sz w:val="24"/>
          <w:szCs w:val="24"/>
          <w:lang w:eastAsia="es-CR"/>
        </w:rPr>
        <w:t>(…)</w:t>
      </w:r>
    </w:p>
    <w:p w:rsidR="00017EE6" w:rsidRPr="00017EE6" w:rsidRDefault="00017EE6" w:rsidP="00017EE6">
      <w:pPr>
        <w:spacing w:after="0" w:line="240" w:lineRule="auto"/>
        <w:ind w:left="709"/>
        <w:jc w:val="both"/>
        <w:rPr>
          <w:rFonts w:ascii="Times New Roman" w:eastAsia="Times New Roman" w:hAnsi="Times New Roman" w:cs="Times New Roman"/>
          <w:color w:val="000000"/>
          <w:sz w:val="24"/>
          <w:szCs w:val="24"/>
          <w:lang w:eastAsia="es-CR"/>
        </w:rPr>
      </w:pPr>
      <w:r w:rsidRPr="00017EE6">
        <w:rPr>
          <w:rFonts w:ascii="Arial Narrow" w:eastAsia="Times New Roman" w:hAnsi="Arial Narrow" w:cs="Times New Roman"/>
          <w:color w:val="000000"/>
          <w:sz w:val="24"/>
          <w:szCs w:val="24"/>
          <w:lang w:eastAsia="es-CR"/>
        </w:rPr>
        <w:t xml:space="preserve">IV.-  Atinente al primer tema, se ha venido cuestionando la existencia de los susodichos préstamos. Tanto las instancias administrativas, como el órgano jurisdiccional, en la sentencia que se conoce, coinciden en esa falta de acreditación. La Sala comparte ese criterio, porque sin duda los documentos a los que refiere el </w:t>
      </w:r>
      <w:proofErr w:type="spellStart"/>
      <w:r w:rsidRPr="00017EE6">
        <w:rPr>
          <w:rFonts w:ascii="Arial Narrow" w:eastAsia="Times New Roman" w:hAnsi="Arial Narrow" w:cs="Times New Roman"/>
          <w:color w:val="000000"/>
          <w:sz w:val="24"/>
          <w:szCs w:val="24"/>
          <w:lang w:eastAsia="es-CR"/>
        </w:rPr>
        <w:t>casacionista</w:t>
      </w:r>
      <w:proofErr w:type="spellEnd"/>
      <w:r w:rsidRPr="00017EE6">
        <w:rPr>
          <w:rFonts w:ascii="Arial Narrow" w:eastAsia="Times New Roman" w:hAnsi="Arial Narrow" w:cs="Times New Roman"/>
          <w:color w:val="000000"/>
          <w:sz w:val="24"/>
          <w:szCs w:val="24"/>
          <w:lang w:eastAsia="es-CR"/>
        </w:rPr>
        <w:t xml:space="preserve"> no tienen la virtud de probar, con la contundencia requerida, la existencia de los relacionados préstamos ni el origen certero de esos pasivos, como para precisar la procedencia de los recursos financieros y económicos ingresados en las arcas de la sociedad. Si bien es cierto, en muchas de las transacciones mercantiles impera el principio de informalidad o libertad de formas, es natural también que para fines fiscales interese que las partes lleguen a documentar algunas operaciones y negocios de trascendencia, con el propósito de pre constituir prueba de relevancia para lograr exenciones tributarias, tal y como la que ahora se pretende. Pero la actora, en modo alguno ha actuado con la debida diligencia de procurarse medios probatorios contundentes para lograr su cometido. En realidad, los formularios de cheque de que ha hecho mérito y su naturaleza de título valor abstracto, no arrojan luz sobre el negocio concreto que origina su emisión, mucho menos en torno a la causa que mereció el aumento patrimonial que ahora concierne. Lo propio puede decirse de la certificación contable de pasivos de la compañía, cuyo carácter de prueba mercantil se relativiza porque lo es, “Sin perjuicio de los libros que la ley del Impuesto sobre la Renta exige a toda persona natural o jurídica…” como lo estipula el canon 251 del Código de Comercio. Tampoco la fotocopia de la transferencia de fondos expresa, a ciencia cierta, la causa y el destino que los origina. Ni siquiera reuniendo esas probanzas se puede establecer la existencia de indicios serios, precisos y concordantes como para despejar todo cuestionamiento, pues frente a ellos, es inobjetable cómo el resultado de la experticia practicada por el C.P.A., don (…), antes bien, hace patente la imposibilidad manifiesta de verificar en la contabilidad de la empresa actora, en el expediente y en la realidad misma, la existencia de contratos formales de préstamos entre ella, (…), S.A., (…), S.A. o con el señor (… ; así lo reiteró el experto a lo largo de su informe. En consecuencia, la falta de acreditación del origen de esos fondos, en tanto representan incrementos patrimoniales, no puede más que atribuirse a la contribuyente. (…)”</w:t>
      </w:r>
    </w:p>
    <w:p w:rsidR="00017EE6" w:rsidRPr="00017EE6" w:rsidRDefault="00017EE6" w:rsidP="00017EE6">
      <w:pPr>
        <w:spacing w:after="0" w:line="240" w:lineRule="auto"/>
        <w:ind w:left="709"/>
        <w:jc w:val="both"/>
        <w:rPr>
          <w:rFonts w:ascii="Times New Roman" w:eastAsia="Times New Roman" w:hAnsi="Times New Roman" w:cs="Times New Roman"/>
          <w:color w:val="000000"/>
          <w:sz w:val="24"/>
          <w:szCs w:val="24"/>
          <w:lang w:eastAsia="es-CR"/>
        </w:rPr>
      </w:pPr>
      <w:r w:rsidRPr="00017EE6">
        <w:rPr>
          <w:rFonts w:ascii="Arial Narrow" w:eastAsia="Times New Roman" w:hAnsi="Arial Narrow" w:cs="Times New Roman"/>
          <w:color w:val="000000"/>
          <w:sz w:val="24"/>
          <w:szCs w:val="24"/>
          <w:lang w:eastAsia="es-CR"/>
        </w:rPr>
        <w:t> </w:t>
      </w:r>
    </w:p>
    <w:p w:rsidR="00017EE6" w:rsidRPr="00017EE6" w:rsidRDefault="00017EE6" w:rsidP="00017EE6">
      <w:pPr>
        <w:spacing w:after="0" w:line="240" w:lineRule="auto"/>
        <w:ind w:firstLine="709"/>
        <w:jc w:val="both"/>
        <w:rPr>
          <w:rFonts w:ascii="Times New Roman" w:eastAsia="Times New Roman" w:hAnsi="Times New Roman" w:cs="Times New Roman"/>
          <w:color w:val="000000"/>
          <w:sz w:val="24"/>
          <w:szCs w:val="24"/>
          <w:lang w:eastAsia="es-CR"/>
        </w:rPr>
      </w:pPr>
      <w:r w:rsidRPr="00017EE6">
        <w:rPr>
          <w:rFonts w:ascii="Arial Narrow" w:eastAsia="Times New Roman" w:hAnsi="Arial Narrow" w:cs="Times New Roman"/>
          <w:color w:val="000000"/>
          <w:sz w:val="24"/>
          <w:szCs w:val="24"/>
          <w:lang w:eastAsia="es-CR"/>
        </w:rPr>
        <w:t xml:space="preserve">Esta sentencia ratifica en alzada lo resuelto tanto por el Tribunal Superior Contencioso Administrativo como por el Tribunal Fiscal Administrativo, al demostrarse que en la especie existe un incremento injustificado de patrimonio, atribuido a fondos que fueron registrados en la contabilidad como un pasivo, pero que el </w:t>
      </w:r>
      <w:proofErr w:type="spellStart"/>
      <w:r w:rsidRPr="00017EE6">
        <w:rPr>
          <w:rFonts w:ascii="Arial Narrow" w:eastAsia="Times New Roman" w:hAnsi="Arial Narrow" w:cs="Times New Roman"/>
          <w:color w:val="000000"/>
          <w:sz w:val="24"/>
          <w:szCs w:val="24"/>
          <w:lang w:eastAsia="es-CR"/>
        </w:rPr>
        <w:t>casacionista</w:t>
      </w:r>
      <w:proofErr w:type="spellEnd"/>
      <w:r w:rsidRPr="00017EE6">
        <w:rPr>
          <w:rFonts w:ascii="Arial Narrow" w:eastAsia="Times New Roman" w:hAnsi="Arial Narrow" w:cs="Times New Roman"/>
          <w:color w:val="000000"/>
          <w:sz w:val="24"/>
          <w:szCs w:val="24"/>
          <w:lang w:eastAsia="es-CR"/>
        </w:rPr>
        <w:t xml:space="preserve"> no pudo demostrar el origen de dichos fondos, en vista que no se aportaron los contratos formales de los préstamos. Además, los cheques, la certificación de pasivos, los documentos sobre la transferencia de fondos y los libros contables, aportados como </w:t>
      </w:r>
      <w:r w:rsidRPr="00017EE6">
        <w:rPr>
          <w:rFonts w:ascii="Arial Narrow" w:eastAsia="Times New Roman" w:hAnsi="Arial Narrow" w:cs="Times New Roman"/>
          <w:color w:val="000000"/>
          <w:sz w:val="24"/>
          <w:szCs w:val="24"/>
          <w:lang w:eastAsia="es-CR"/>
        </w:rPr>
        <w:lastRenderedPageBreak/>
        <w:t>prueba, no justifican por sí mismos el origen de tales fondos y no constituyen prueba contundente, misma que el contribuyente debió procurar. Ante la falta de justificación de la fuente de los recursos cuestionados, como lo expresa la misma Sala, se deslinda la presunción legal del incremento no justificado de patrimonio con base en los hechos acaecidos y demostrados por la Oficina Fiscalizadora, por lo que se confirma la sentencia recurrida</w:t>
      </w:r>
      <w:r w:rsidRPr="00017EE6">
        <w:rPr>
          <w:rFonts w:ascii="Arial Narrow" w:eastAsia="Times New Roman" w:hAnsi="Arial Narrow" w:cs="Times New Roman"/>
          <w:color w:val="365F91"/>
          <w:sz w:val="24"/>
          <w:szCs w:val="24"/>
          <w:lang w:eastAsia="es-CR"/>
        </w:rPr>
        <w:t>.</w:t>
      </w:r>
    </w:p>
    <w:p w:rsidR="00017EE6" w:rsidRPr="00017EE6" w:rsidRDefault="00017EE6" w:rsidP="00017EE6">
      <w:pPr>
        <w:spacing w:after="0" w:line="240" w:lineRule="auto"/>
        <w:ind w:firstLine="709"/>
        <w:jc w:val="both"/>
        <w:rPr>
          <w:rFonts w:ascii="Times New Roman" w:eastAsia="Times New Roman" w:hAnsi="Times New Roman" w:cs="Times New Roman"/>
          <w:color w:val="000000"/>
          <w:sz w:val="24"/>
          <w:szCs w:val="24"/>
          <w:lang w:eastAsia="es-CR"/>
        </w:rPr>
      </w:pPr>
      <w:r w:rsidRPr="00017EE6">
        <w:rPr>
          <w:rFonts w:ascii="Arial Narrow" w:eastAsia="Times New Roman" w:hAnsi="Arial Narrow" w:cs="Times New Roman"/>
          <w:color w:val="000000"/>
          <w:sz w:val="24"/>
          <w:szCs w:val="24"/>
          <w:lang w:eastAsia="es-CR"/>
        </w:rPr>
        <w:t> </w:t>
      </w:r>
    </w:p>
    <w:p w:rsidR="00017EE6" w:rsidRPr="00017EE6" w:rsidRDefault="00017EE6" w:rsidP="00017EE6">
      <w:pPr>
        <w:spacing w:after="0" w:line="240" w:lineRule="auto"/>
        <w:ind w:left="170" w:right="51" w:firstLine="709"/>
        <w:jc w:val="both"/>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 </w:t>
      </w:r>
    </w:p>
    <w:p w:rsidR="00017EE6" w:rsidRPr="00017EE6" w:rsidRDefault="00017EE6" w:rsidP="00017EE6">
      <w:pPr>
        <w:spacing w:after="0" w:line="240" w:lineRule="auto"/>
        <w:ind w:left="170" w:right="51" w:firstLine="709"/>
        <w:jc w:val="both"/>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 </w:t>
      </w:r>
    </w:p>
    <w:p w:rsidR="00017EE6" w:rsidRPr="00017EE6" w:rsidRDefault="00017EE6" w:rsidP="00017EE6">
      <w:pPr>
        <w:spacing w:after="0" w:line="240" w:lineRule="auto"/>
        <w:ind w:left="170" w:right="51" w:firstLine="709"/>
        <w:jc w:val="both"/>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 </w:t>
      </w:r>
    </w:p>
    <w:p w:rsidR="00017EE6" w:rsidRPr="00017EE6" w:rsidRDefault="00017EE6" w:rsidP="00017EE6">
      <w:pPr>
        <w:spacing w:after="0" w:line="240" w:lineRule="auto"/>
        <w:ind w:left="170" w:right="51" w:firstLine="709"/>
        <w:jc w:val="center"/>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Francisco Villalobos Brenes</w:t>
      </w:r>
    </w:p>
    <w:p w:rsidR="00017EE6" w:rsidRPr="00017EE6" w:rsidRDefault="00017EE6" w:rsidP="00017EE6">
      <w:pPr>
        <w:spacing w:after="0" w:line="240" w:lineRule="auto"/>
        <w:ind w:left="170" w:right="51" w:firstLine="709"/>
        <w:jc w:val="center"/>
        <w:rPr>
          <w:rFonts w:ascii="Calibri" w:eastAsia="Times New Roman" w:hAnsi="Calibri" w:cs="Calibri"/>
          <w:color w:val="000000"/>
          <w:lang w:eastAsia="es-CR"/>
        </w:rPr>
      </w:pPr>
      <w:r w:rsidRPr="00017EE6">
        <w:rPr>
          <w:rFonts w:ascii="Arial Narrow" w:eastAsia="Times New Roman" w:hAnsi="Arial Narrow" w:cs="Calibri"/>
          <w:b/>
          <w:bCs/>
          <w:color w:val="000000"/>
          <w:sz w:val="24"/>
          <w:szCs w:val="24"/>
          <w:lang w:eastAsia="es-CR"/>
        </w:rPr>
        <w:t>Director General</w:t>
      </w:r>
    </w:p>
    <w:p w:rsidR="00017EE6" w:rsidRPr="00017EE6" w:rsidRDefault="00017EE6" w:rsidP="00017EE6">
      <w:pPr>
        <w:spacing w:after="0" w:line="240" w:lineRule="auto"/>
        <w:ind w:right="51"/>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 </w:t>
      </w:r>
    </w:p>
    <w:p w:rsidR="00017EE6" w:rsidRPr="00017EE6" w:rsidRDefault="00017EE6" w:rsidP="00017EE6">
      <w:pPr>
        <w:spacing w:after="0" w:line="240" w:lineRule="auto"/>
        <w:ind w:right="51"/>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 </w:t>
      </w:r>
    </w:p>
    <w:p w:rsidR="00017EE6" w:rsidRPr="00017EE6" w:rsidRDefault="00017EE6" w:rsidP="00017EE6">
      <w:pPr>
        <w:spacing w:after="0" w:line="240" w:lineRule="auto"/>
        <w:ind w:right="51"/>
        <w:jc w:val="both"/>
        <w:rPr>
          <w:rFonts w:ascii="Calibri" w:eastAsia="Times New Roman" w:hAnsi="Calibri" w:cs="Calibri"/>
          <w:color w:val="000000"/>
          <w:lang w:eastAsia="es-CR"/>
        </w:rPr>
      </w:pPr>
      <w:r w:rsidRPr="00017EE6">
        <w:rPr>
          <w:rFonts w:ascii="Arial Narrow" w:eastAsia="Times New Roman" w:hAnsi="Arial Narrow" w:cs="Calibri"/>
          <w:color w:val="000000"/>
          <w:sz w:val="24"/>
          <w:szCs w:val="24"/>
          <w:lang w:eastAsia="es-CR"/>
        </w:rPr>
        <w:t> </w:t>
      </w:r>
    </w:p>
    <w:p w:rsidR="00017EE6" w:rsidRPr="00017EE6" w:rsidRDefault="00017EE6" w:rsidP="00017EE6">
      <w:pPr>
        <w:spacing w:after="0" w:line="240" w:lineRule="auto"/>
        <w:ind w:right="51"/>
        <w:jc w:val="both"/>
        <w:rPr>
          <w:rFonts w:ascii="Calibri" w:eastAsia="Times New Roman" w:hAnsi="Calibri" w:cs="Calibri"/>
          <w:color w:val="000000"/>
          <w:lang w:eastAsia="es-CR"/>
        </w:rPr>
      </w:pPr>
      <w:r w:rsidRPr="00017EE6">
        <w:rPr>
          <w:rFonts w:ascii="Arial Narrow" w:eastAsia="Times New Roman" w:hAnsi="Arial Narrow" w:cs="Calibri"/>
          <w:color w:val="000000"/>
          <w:sz w:val="20"/>
          <w:szCs w:val="20"/>
          <w:lang w:eastAsia="es-CR"/>
        </w:rPr>
        <w:t>Jenny P. Jiménez Vargas</w:t>
      </w:r>
    </w:p>
    <w:p w:rsidR="00017EE6" w:rsidRPr="00017EE6" w:rsidRDefault="00017EE6" w:rsidP="00017EE6">
      <w:pPr>
        <w:spacing w:after="0" w:line="240" w:lineRule="auto"/>
        <w:ind w:right="51"/>
        <w:jc w:val="both"/>
        <w:rPr>
          <w:rFonts w:ascii="Calibri" w:eastAsia="Times New Roman" w:hAnsi="Calibri" w:cs="Calibri"/>
          <w:color w:val="000000"/>
          <w:lang w:eastAsia="es-CR"/>
        </w:rPr>
      </w:pPr>
      <w:r w:rsidRPr="00017EE6">
        <w:rPr>
          <w:rFonts w:ascii="Arial Narrow" w:eastAsia="Times New Roman" w:hAnsi="Arial Narrow" w:cs="Calibri"/>
          <w:color w:val="000000"/>
          <w:sz w:val="20"/>
          <w:szCs w:val="20"/>
          <w:lang w:eastAsia="es-CR"/>
        </w:rPr>
        <w:t>Directora Tributación Internacional</w:t>
      </w:r>
    </w:p>
    <w:p w:rsidR="00017EE6" w:rsidRPr="00017EE6" w:rsidRDefault="00017EE6" w:rsidP="00017EE6">
      <w:pPr>
        <w:spacing w:after="0" w:line="240" w:lineRule="auto"/>
        <w:ind w:right="51"/>
        <w:jc w:val="both"/>
        <w:rPr>
          <w:rFonts w:ascii="Calibri" w:eastAsia="Times New Roman" w:hAnsi="Calibri" w:cs="Calibri"/>
          <w:color w:val="000000"/>
          <w:lang w:eastAsia="es-CR"/>
        </w:rPr>
      </w:pPr>
      <w:proofErr w:type="gramStart"/>
      <w:r w:rsidRPr="00017EE6">
        <w:rPr>
          <w:rFonts w:ascii="Arial Narrow" w:eastAsia="Times New Roman" w:hAnsi="Arial Narrow" w:cs="Calibri"/>
          <w:color w:val="000000"/>
          <w:sz w:val="20"/>
          <w:szCs w:val="20"/>
          <w:lang w:eastAsia="es-CR"/>
        </w:rPr>
        <w:t>y</w:t>
      </w:r>
      <w:proofErr w:type="gramEnd"/>
      <w:r w:rsidRPr="00017EE6">
        <w:rPr>
          <w:rFonts w:ascii="Arial Narrow" w:eastAsia="Times New Roman" w:hAnsi="Arial Narrow" w:cs="Calibri"/>
          <w:color w:val="000000"/>
          <w:sz w:val="20"/>
          <w:szCs w:val="20"/>
          <w:lang w:eastAsia="es-CR"/>
        </w:rPr>
        <w:t xml:space="preserve"> Técnica Tributaria</w:t>
      </w:r>
    </w:p>
    <w:p w:rsidR="00017EE6" w:rsidRPr="00017EE6" w:rsidRDefault="00017EE6" w:rsidP="00017EE6">
      <w:pPr>
        <w:spacing w:after="0" w:line="240" w:lineRule="auto"/>
        <w:ind w:right="51"/>
        <w:jc w:val="both"/>
        <w:rPr>
          <w:rFonts w:ascii="Calibri" w:eastAsia="Times New Roman" w:hAnsi="Calibri" w:cs="Calibri"/>
          <w:color w:val="000000"/>
          <w:lang w:eastAsia="es-CR"/>
        </w:rPr>
      </w:pPr>
      <w:r w:rsidRPr="00017EE6">
        <w:rPr>
          <w:rFonts w:ascii="Arial Narrow" w:eastAsia="Times New Roman" w:hAnsi="Arial Narrow" w:cs="Calibri"/>
          <w:color w:val="000000"/>
          <w:sz w:val="20"/>
          <w:szCs w:val="20"/>
          <w:lang w:eastAsia="es-CR"/>
        </w:rPr>
        <w:t> </w:t>
      </w:r>
    </w:p>
    <w:p w:rsidR="00017EE6" w:rsidRPr="00017EE6" w:rsidRDefault="00017EE6" w:rsidP="00017EE6">
      <w:pPr>
        <w:spacing w:after="0" w:line="240" w:lineRule="auto"/>
        <w:ind w:right="51"/>
        <w:jc w:val="both"/>
        <w:rPr>
          <w:rFonts w:ascii="Calibri" w:eastAsia="Times New Roman" w:hAnsi="Calibri" w:cs="Calibri"/>
          <w:color w:val="000000"/>
          <w:lang w:eastAsia="es-CR"/>
        </w:rPr>
      </w:pPr>
      <w:r w:rsidRPr="00017EE6">
        <w:rPr>
          <w:rFonts w:ascii="Arial Narrow" w:eastAsia="Times New Roman" w:hAnsi="Arial Narrow" w:cs="Calibri"/>
          <w:color w:val="000000"/>
          <w:sz w:val="20"/>
          <w:szCs w:val="20"/>
          <w:lang w:eastAsia="es-CR"/>
        </w:rPr>
        <w:t> </w:t>
      </w:r>
    </w:p>
    <w:p w:rsidR="00017EE6" w:rsidRPr="00017EE6" w:rsidRDefault="00017EE6" w:rsidP="00017EE6">
      <w:pPr>
        <w:spacing w:after="0" w:line="240" w:lineRule="auto"/>
        <w:ind w:right="51"/>
        <w:jc w:val="both"/>
        <w:rPr>
          <w:rFonts w:ascii="Calibri" w:eastAsia="Times New Roman" w:hAnsi="Calibri" w:cs="Calibri"/>
          <w:color w:val="000000"/>
          <w:lang w:eastAsia="es-CR"/>
        </w:rPr>
      </w:pPr>
      <w:proofErr w:type="spellStart"/>
      <w:r w:rsidRPr="00017EE6">
        <w:rPr>
          <w:rFonts w:ascii="Arial Narrow" w:eastAsia="Times New Roman" w:hAnsi="Arial Narrow" w:cs="Calibri"/>
          <w:color w:val="000000"/>
          <w:sz w:val="20"/>
          <w:szCs w:val="20"/>
          <w:lang w:eastAsia="es-CR"/>
        </w:rPr>
        <w:t>ACalderónV</w:t>
      </w:r>
      <w:proofErr w:type="spellEnd"/>
      <w:r w:rsidRPr="00017EE6">
        <w:rPr>
          <w:rFonts w:ascii="Arial Narrow" w:eastAsia="Times New Roman" w:hAnsi="Arial Narrow" w:cs="Calibri"/>
          <w:color w:val="000000"/>
          <w:sz w:val="20"/>
          <w:szCs w:val="20"/>
          <w:lang w:eastAsia="es-CR"/>
        </w:rPr>
        <w:t xml:space="preserve"> / </w:t>
      </w:r>
      <w:proofErr w:type="spellStart"/>
      <w:r w:rsidRPr="00017EE6">
        <w:rPr>
          <w:rFonts w:ascii="Arial Narrow" w:eastAsia="Times New Roman" w:hAnsi="Arial Narrow" w:cs="Calibri"/>
          <w:color w:val="000000"/>
          <w:sz w:val="20"/>
          <w:szCs w:val="20"/>
          <w:lang w:eastAsia="es-CR"/>
        </w:rPr>
        <w:t>MCorralesU</w:t>
      </w:r>
      <w:proofErr w:type="spellEnd"/>
    </w:p>
    <w:p w:rsidR="00017EE6" w:rsidRPr="00017EE6" w:rsidRDefault="00017EE6" w:rsidP="00017EE6">
      <w:pPr>
        <w:spacing w:after="0" w:line="240" w:lineRule="auto"/>
        <w:rPr>
          <w:rFonts w:ascii="Times New Roman" w:eastAsia="Times New Roman" w:hAnsi="Times New Roman" w:cs="Times New Roman"/>
          <w:color w:val="000000"/>
          <w:sz w:val="27"/>
          <w:szCs w:val="27"/>
          <w:lang w:eastAsia="es-CR"/>
        </w:rPr>
      </w:pPr>
      <w:r w:rsidRPr="00017EE6">
        <w:rPr>
          <w:rFonts w:ascii="Times New Roman" w:eastAsia="Times New Roman" w:hAnsi="Times New Roman" w:cs="Times New Roman"/>
          <w:color w:val="000000"/>
          <w:sz w:val="27"/>
          <w:szCs w:val="27"/>
          <w:lang w:eastAsia="es-CR"/>
        </w:rPr>
        <w:br w:type="textWrapping" w:clear="all"/>
      </w:r>
    </w:p>
    <w:p w:rsidR="00017EE6" w:rsidRPr="00017EE6" w:rsidRDefault="00017EE6" w:rsidP="00017EE6">
      <w:pPr>
        <w:spacing w:after="0" w:line="240" w:lineRule="auto"/>
        <w:rPr>
          <w:rFonts w:ascii="Times New Roman" w:eastAsia="Times New Roman" w:hAnsi="Times New Roman" w:cs="Times New Roman"/>
          <w:color w:val="000000"/>
          <w:sz w:val="27"/>
          <w:szCs w:val="27"/>
          <w:lang w:eastAsia="es-CR"/>
        </w:rPr>
      </w:pPr>
      <w:r w:rsidRPr="00017EE6">
        <w:rPr>
          <w:rFonts w:ascii="Times New Roman" w:eastAsia="Times New Roman" w:hAnsi="Times New Roman" w:cs="Times New Roman"/>
          <w:color w:val="000000"/>
          <w:sz w:val="27"/>
          <w:szCs w:val="27"/>
          <w:lang w:eastAsia="es-CR"/>
        </w:rPr>
        <w:pict>
          <v:rect id="_x0000_i1025" style="width:145.85pt;height:.75pt" o:hrpct="330" o:hrstd="t" o:hr="t" fillcolor="#a0a0a0" stroked="f"/>
        </w:pict>
      </w:r>
    </w:p>
    <w:bookmarkStart w:id="14" w:name="_ftn1"/>
    <w:p w:rsidR="00017EE6" w:rsidRPr="00017EE6" w:rsidRDefault="00017EE6" w:rsidP="00017EE6">
      <w:pPr>
        <w:spacing w:after="0" w:line="240" w:lineRule="auto"/>
        <w:ind w:left="170" w:right="-658" w:hanging="170"/>
        <w:jc w:val="both"/>
        <w:rPr>
          <w:rFonts w:ascii="Times New Roman" w:eastAsia="Times New Roman" w:hAnsi="Times New Roman" w:cs="Times New Roman"/>
          <w:color w:val="000000"/>
          <w:sz w:val="20"/>
          <w:szCs w:val="20"/>
          <w:lang w:eastAsia="es-CR"/>
        </w:rPr>
      </w:pPr>
      <w:r w:rsidRPr="00017EE6">
        <w:rPr>
          <w:rFonts w:ascii="Times New Roman" w:eastAsia="Times New Roman" w:hAnsi="Times New Roman" w:cs="Times New Roman"/>
          <w:color w:val="000000"/>
          <w:sz w:val="20"/>
          <w:szCs w:val="20"/>
          <w:lang w:eastAsia="es-CR"/>
        </w:rPr>
        <w:fldChar w:fldCharType="begin"/>
      </w:r>
      <w:r w:rsidRPr="00017EE6">
        <w:rPr>
          <w:rFonts w:ascii="Times New Roman" w:eastAsia="Times New Roman" w:hAnsi="Times New Roman" w:cs="Times New Roman"/>
          <w:color w:val="000000"/>
          <w:sz w:val="20"/>
          <w:szCs w:val="20"/>
          <w:lang w:eastAsia="es-CR"/>
        </w:rPr>
        <w:instrText xml:space="preserve"> HYPERLINK "http://196.40.56.20/DOCUWEB/1/INCREMENTOPATRIMONIALNOJUSTIFICADO.html" \l "_ftnref1" \o "" </w:instrText>
      </w:r>
      <w:r w:rsidRPr="00017EE6">
        <w:rPr>
          <w:rFonts w:ascii="Times New Roman" w:eastAsia="Times New Roman" w:hAnsi="Times New Roman" w:cs="Times New Roman"/>
          <w:color w:val="000000"/>
          <w:sz w:val="20"/>
          <w:szCs w:val="20"/>
          <w:lang w:eastAsia="es-CR"/>
        </w:rPr>
        <w:fldChar w:fldCharType="separate"/>
      </w:r>
      <w:r w:rsidRPr="00017EE6">
        <w:rPr>
          <w:rFonts w:ascii="Calibri" w:eastAsia="Times New Roman" w:hAnsi="Calibri" w:cs="Calibri"/>
          <w:color w:val="800080"/>
          <w:sz w:val="20"/>
          <w:u w:val="single"/>
          <w:vertAlign w:val="superscript"/>
          <w:lang w:eastAsia="es-CR"/>
        </w:rPr>
        <w:t>[1]</w:t>
      </w:r>
      <w:r w:rsidRPr="00017EE6">
        <w:rPr>
          <w:rFonts w:ascii="Times New Roman" w:eastAsia="Times New Roman" w:hAnsi="Times New Roman" w:cs="Times New Roman"/>
          <w:color w:val="000000"/>
          <w:sz w:val="20"/>
          <w:szCs w:val="20"/>
          <w:lang w:eastAsia="es-CR"/>
        </w:rPr>
        <w:fldChar w:fldCharType="end"/>
      </w:r>
      <w:bookmarkEnd w:id="14"/>
      <w:r w:rsidRPr="00017EE6">
        <w:rPr>
          <w:rFonts w:ascii="Calibri" w:eastAsia="Times New Roman" w:hAnsi="Calibri" w:cs="Calibri"/>
          <w:color w:val="000000"/>
          <w:sz w:val="20"/>
          <w:lang w:eastAsia="es-CR"/>
        </w:rPr>
        <w:t> </w:t>
      </w:r>
      <w:r w:rsidRPr="00017EE6">
        <w:rPr>
          <w:rFonts w:ascii="Calibri" w:eastAsia="Times New Roman" w:hAnsi="Calibri" w:cs="Calibri"/>
          <w:color w:val="000000"/>
          <w:sz w:val="20"/>
          <w:szCs w:val="20"/>
          <w:lang w:eastAsia="es-CR"/>
        </w:rPr>
        <w:t>Casado Ollero, Gabriel. “</w:t>
      </w:r>
      <w:r w:rsidRPr="00017EE6">
        <w:rPr>
          <w:rFonts w:ascii="Calibri" w:eastAsia="Times New Roman" w:hAnsi="Calibri" w:cs="Calibri"/>
          <w:i/>
          <w:iCs/>
          <w:color w:val="000000"/>
          <w:sz w:val="20"/>
          <w:szCs w:val="20"/>
          <w:lang w:eastAsia="es-CR"/>
        </w:rPr>
        <w:t>Ganancias Patrimoniales no Justificadas y Delito Fiscal</w:t>
      </w:r>
      <w:r w:rsidRPr="00017EE6">
        <w:rPr>
          <w:rFonts w:ascii="Calibri" w:eastAsia="Times New Roman" w:hAnsi="Calibri" w:cs="Calibri"/>
          <w:color w:val="000000"/>
          <w:sz w:val="20"/>
          <w:szCs w:val="20"/>
          <w:lang w:eastAsia="es-CR"/>
        </w:rPr>
        <w:t>”.</w:t>
      </w:r>
    </w:p>
    <w:p w:rsidR="00017EE6" w:rsidRPr="00017EE6" w:rsidRDefault="00017EE6" w:rsidP="00017EE6">
      <w:pPr>
        <w:spacing w:after="0" w:line="240" w:lineRule="auto"/>
        <w:ind w:left="170" w:right="-658" w:hanging="170"/>
        <w:jc w:val="both"/>
        <w:rPr>
          <w:rFonts w:ascii="Times New Roman" w:eastAsia="Times New Roman" w:hAnsi="Times New Roman" w:cs="Times New Roman"/>
          <w:color w:val="000000"/>
          <w:sz w:val="20"/>
          <w:szCs w:val="20"/>
          <w:lang w:eastAsia="es-CR"/>
        </w:rPr>
      </w:pPr>
      <w:r w:rsidRPr="00017EE6">
        <w:rPr>
          <w:rFonts w:ascii="Calibri" w:eastAsia="Times New Roman" w:hAnsi="Calibri" w:cs="Calibri"/>
          <w:color w:val="000000"/>
          <w:sz w:val="20"/>
          <w:szCs w:val="20"/>
          <w:lang w:eastAsia="es-CR"/>
        </w:rPr>
        <w:t> </w:t>
      </w:r>
      <w:r w:rsidRPr="00017EE6">
        <w:rPr>
          <w:rFonts w:ascii="Calibri" w:eastAsia="Times New Roman" w:hAnsi="Calibri" w:cs="Calibri"/>
          <w:color w:val="000000"/>
          <w:sz w:val="20"/>
          <w:lang w:eastAsia="es-CR"/>
        </w:rPr>
        <w:t> </w:t>
      </w:r>
      <w:r w:rsidRPr="00017EE6">
        <w:rPr>
          <w:rFonts w:ascii="Calibri" w:eastAsia="Times New Roman" w:hAnsi="Calibri" w:cs="Calibri"/>
          <w:color w:val="000000"/>
          <w:sz w:val="20"/>
          <w:szCs w:val="20"/>
          <w:lang w:eastAsia="es-CR"/>
        </w:rPr>
        <w:t>Chico de la Cámara, Pablo.”</w:t>
      </w:r>
      <w:r w:rsidRPr="00017EE6">
        <w:rPr>
          <w:rFonts w:ascii="Calibri" w:eastAsia="Times New Roman" w:hAnsi="Calibri" w:cs="Calibri"/>
          <w:i/>
          <w:iCs/>
          <w:color w:val="000000"/>
          <w:sz w:val="20"/>
          <w:szCs w:val="20"/>
          <w:lang w:eastAsia="es-CR"/>
        </w:rPr>
        <w:t>Las ganancias no justificadas de patrimonio en el IRPF”</w:t>
      </w:r>
      <w:r w:rsidRPr="00017EE6">
        <w:rPr>
          <w:rFonts w:ascii="Calibri" w:eastAsia="Times New Roman" w:hAnsi="Calibri" w:cs="Calibri"/>
          <w:color w:val="000000"/>
          <w:sz w:val="20"/>
          <w:szCs w:val="20"/>
          <w:lang w:eastAsia="es-CR"/>
        </w:rPr>
        <w:t>.</w:t>
      </w:r>
    </w:p>
    <w:bookmarkStart w:id="15" w:name="_ftn2"/>
    <w:p w:rsidR="00017EE6" w:rsidRPr="00017EE6" w:rsidRDefault="00017EE6" w:rsidP="00017EE6">
      <w:pPr>
        <w:spacing w:after="0" w:line="240" w:lineRule="auto"/>
        <w:ind w:right="335"/>
        <w:jc w:val="both"/>
        <w:rPr>
          <w:rFonts w:ascii="Calibri" w:eastAsia="Times New Roman" w:hAnsi="Calibri" w:cs="Calibri"/>
          <w:color w:val="000000"/>
          <w:lang w:eastAsia="es-CR"/>
        </w:rPr>
      </w:pPr>
      <w:r w:rsidRPr="00017EE6">
        <w:rPr>
          <w:rFonts w:ascii="Calibri" w:eastAsia="Times New Roman" w:hAnsi="Calibri" w:cs="Calibri"/>
          <w:color w:val="000000"/>
          <w:lang w:eastAsia="es-CR"/>
        </w:rPr>
        <w:fldChar w:fldCharType="begin"/>
      </w:r>
      <w:r w:rsidRPr="00017EE6">
        <w:rPr>
          <w:rFonts w:ascii="Calibri" w:eastAsia="Times New Roman" w:hAnsi="Calibri" w:cs="Calibri"/>
          <w:color w:val="000000"/>
          <w:lang w:eastAsia="es-CR"/>
        </w:rPr>
        <w:instrText xml:space="preserve"> HYPERLINK "http://196.40.56.20/DOCUWEB/1/INCREMENTOPATRIMONIALNOJUSTIFICADO.html" \l "_ftnref2" \o "" </w:instrText>
      </w:r>
      <w:r w:rsidRPr="00017EE6">
        <w:rPr>
          <w:rFonts w:ascii="Calibri" w:eastAsia="Times New Roman" w:hAnsi="Calibri" w:cs="Calibri"/>
          <w:color w:val="000000"/>
          <w:lang w:eastAsia="es-CR"/>
        </w:rPr>
        <w:fldChar w:fldCharType="separate"/>
      </w:r>
      <w:r w:rsidRPr="00017EE6">
        <w:rPr>
          <w:rFonts w:ascii="Calibri" w:eastAsia="Times New Roman" w:hAnsi="Calibri" w:cs="Calibri"/>
          <w:color w:val="800080"/>
          <w:sz w:val="20"/>
          <w:u w:val="single"/>
          <w:vertAlign w:val="superscript"/>
          <w:lang w:eastAsia="es-CR"/>
        </w:rPr>
        <w:t>[2]</w:t>
      </w:r>
      <w:r w:rsidRPr="00017EE6">
        <w:rPr>
          <w:rFonts w:ascii="Calibri" w:eastAsia="Times New Roman" w:hAnsi="Calibri" w:cs="Calibri"/>
          <w:color w:val="000000"/>
          <w:lang w:eastAsia="es-CR"/>
        </w:rPr>
        <w:fldChar w:fldCharType="end"/>
      </w:r>
      <w:bookmarkEnd w:id="15"/>
      <w:r w:rsidRPr="00017EE6">
        <w:rPr>
          <w:rFonts w:ascii="Calibri" w:eastAsia="Times New Roman" w:hAnsi="Calibri" w:cs="Calibri"/>
          <w:color w:val="000000"/>
          <w:sz w:val="20"/>
          <w:szCs w:val="20"/>
          <w:lang w:eastAsia="es-CR"/>
        </w:rPr>
        <w:t xml:space="preserve">Diego Marín </w:t>
      </w:r>
      <w:proofErr w:type="spellStart"/>
      <w:r w:rsidRPr="00017EE6">
        <w:rPr>
          <w:rFonts w:ascii="Calibri" w:eastAsia="Times New Roman" w:hAnsi="Calibri" w:cs="Calibri"/>
          <w:color w:val="000000"/>
          <w:sz w:val="20"/>
          <w:szCs w:val="20"/>
          <w:lang w:eastAsia="es-CR"/>
        </w:rPr>
        <w:t>Barnuevo</w:t>
      </w:r>
      <w:proofErr w:type="spellEnd"/>
      <w:r w:rsidRPr="00017EE6">
        <w:rPr>
          <w:rFonts w:ascii="Calibri" w:eastAsia="Times New Roman" w:hAnsi="Calibri" w:cs="Calibri"/>
          <w:color w:val="000000"/>
          <w:sz w:val="20"/>
          <w:szCs w:val="20"/>
          <w:lang w:eastAsia="es-CR"/>
        </w:rPr>
        <w:t xml:space="preserve"> Fabo. Presunciones y Técnicas Presuntivas en Derecho Tributario. Editorial Ciencias Jurídicas. Madrid 1996.</w:t>
      </w:r>
      <w:r w:rsidRPr="00017EE6">
        <w:rPr>
          <w:rFonts w:ascii="Calibri" w:eastAsia="Times New Roman" w:hAnsi="Calibri" w:cs="Calibri"/>
          <w:color w:val="000000"/>
          <w:sz w:val="20"/>
          <w:lang w:eastAsia="es-CR"/>
        </w:rPr>
        <w:t> </w:t>
      </w:r>
      <w:r w:rsidRPr="00017EE6">
        <w:rPr>
          <w:rFonts w:ascii="Calibri" w:eastAsia="Times New Roman" w:hAnsi="Calibri" w:cs="Calibri"/>
          <w:color w:val="000000"/>
          <w:sz w:val="20"/>
          <w:szCs w:val="20"/>
          <w:lang w:eastAsia="es-CR"/>
        </w:rPr>
        <w:t xml:space="preserve">Otra acepción corresponde a considerarla </w:t>
      </w:r>
      <w:proofErr w:type="spellStart"/>
      <w:r w:rsidRPr="00017EE6">
        <w:rPr>
          <w:rFonts w:ascii="Calibri" w:eastAsia="Times New Roman" w:hAnsi="Calibri" w:cs="Calibri"/>
          <w:color w:val="000000"/>
          <w:sz w:val="20"/>
          <w:szCs w:val="20"/>
          <w:lang w:eastAsia="es-CR"/>
        </w:rPr>
        <w:t>como</w:t>
      </w:r>
      <w:r w:rsidRPr="00017EE6">
        <w:rPr>
          <w:rFonts w:ascii="Calibri" w:eastAsia="Times New Roman" w:hAnsi="Calibri" w:cs="Calibri"/>
          <w:i/>
          <w:iCs/>
          <w:color w:val="000000"/>
          <w:sz w:val="20"/>
          <w:szCs w:val="20"/>
          <w:lang w:eastAsia="es-CR"/>
        </w:rPr>
        <w:t>“una</w:t>
      </w:r>
      <w:proofErr w:type="spellEnd"/>
      <w:r w:rsidRPr="00017EE6">
        <w:rPr>
          <w:rFonts w:ascii="Calibri" w:eastAsia="Times New Roman" w:hAnsi="Calibri" w:cs="Calibri"/>
          <w:i/>
          <w:iCs/>
          <w:color w:val="000000"/>
          <w:sz w:val="20"/>
          <w:szCs w:val="20"/>
          <w:lang w:eastAsia="es-CR"/>
        </w:rPr>
        <w:t xml:space="preserve"> operación lógica formal que realiza el legislador o juez, en virtud de la cual, a partir de un hecho conocido, se considera como cierto o probable otro hecho, en función de máximas generales de experiencia o reglas técnicas.”</w:t>
      </w:r>
      <w:r w:rsidRPr="00017EE6">
        <w:rPr>
          <w:rFonts w:ascii="Calibri" w:eastAsia="Times New Roman" w:hAnsi="Calibri" w:cs="Calibri"/>
          <w:i/>
          <w:iCs/>
          <w:color w:val="000000"/>
          <w:sz w:val="20"/>
          <w:lang w:eastAsia="es-CR"/>
        </w:rPr>
        <w:t> </w:t>
      </w:r>
      <w:r w:rsidRPr="00017EE6">
        <w:rPr>
          <w:rFonts w:ascii="Calibri" w:eastAsia="Times New Roman" w:hAnsi="Calibri" w:cs="Calibri"/>
          <w:color w:val="000000"/>
          <w:sz w:val="20"/>
          <w:szCs w:val="20"/>
          <w:lang w:eastAsia="es-CR"/>
        </w:rPr>
        <w:t xml:space="preserve">(LAS PRESUNCIONES EN DERECHO TRIBUTARIO. </w:t>
      </w:r>
      <w:proofErr w:type="spellStart"/>
      <w:r w:rsidRPr="00017EE6">
        <w:rPr>
          <w:rFonts w:ascii="Calibri" w:eastAsia="Times New Roman" w:hAnsi="Calibri" w:cs="Calibri"/>
          <w:color w:val="000000"/>
          <w:sz w:val="20"/>
          <w:szCs w:val="20"/>
          <w:lang w:eastAsia="es-CR"/>
        </w:rPr>
        <w:t>Jose</w:t>
      </w:r>
      <w:proofErr w:type="spellEnd"/>
      <w:r w:rsidRPr="00017EE6">
        <w:rPr>
          <w:rFonts w:ascii="Calibri" w:eastAsia="Times New Roman" w:hAnsi="Calibri" w:cs="Calibri"/>
          <w:color w:val="000000"/>
          <w:sz w:val="20"/>
          <w:szCs w:val="20"/>
          <w:lang w:eastAsia="es-CR"/>
        </w:rPr>
        <w:t xml:space="preserve"> Mario Rizo Rivas. España. Fecha desconocida).</w:t>
      </w:r>
    </w:p>
    <w:bookmarkStart w:id="16" w:name="_ftn3"/>
    <w:p w:rsidR="00017EE6" w:rsidRPr="00017EE6" w:rsidRDefault="00017EE6" w:rsidP="00017EE6">
      <w:pPr>
        <w:spacing w:after="0" w:line="240" w:lineRule="auto"/>
        <w:ind w:left="170" w:right="-709" w:hanging="170"/>
        <w:jc w:val="both"/>
        <w:rPr>
          <w:rFonts w:ascii="Times New Roman" w:eastAsia="Times New Roman" w:hAnsi="Times New Roman" w:cs="Times New Roman"/>
          <w:color w:val="000000"/>
          <w:sz w:val="20"/>
          <w:szCs w:val="20"/>
          <w:lang w:eastAsia="es-CR"/>
        </w:rPr>
      </w:pPr>
      <w:r w:rsidRPr="00017EE6">
        <w:rPr>
          <w:rFonts w:ascii="Times New Roman" w:eastAsia="Times New Roman" w:hAnsi="Times New Roman" w:cs="Times New Roman"/>
          <w:color w:val="000000"/>
          <w:sz w:val="20"/>
          <w:szCs w:val="20"/>
          <w:lang w:eastAsia="es-CR"/>
        </w:rPr>
        <w:fldChar w:fldCharType="begin"/>
      </w:r>
      <w:r w:rsidRPr="00017EE6">
        <w:rPr>
          <w:rFonts w:ascii="Times New Roman" w:eastAsia="Times New Roman" w:hAnsi="Times New Roman" w:cs="Times New Roman"/>
          <w:color w:val="000000"/>
          <w:sz w:val="20"/>
          <w:szCs w:val="20"/>
          <w:lang w:eastAsia="es-CR"/>
        </w:rPr>
        <w:instrText xml:space="preserve"> HYPERLINK "http://196.40.56.20/DOCUWEB/1/INCREMENTOPATRIMONIALNOJUSTIFICADO.html" \l "_ftnref3" \o "" </w:instrText>
      </w:r>
      <w:r w:rsidRPr="00017EE6">
        <w:rPr>
          <w:rFonts w:ascii="Times New Roman" w:eastAsia="Times New Roman" w:hAnsi="Times New Roman" w:cs="Times New Roman"/>
          <w:color w:val="000000"/>
          <w:sz w:val="20"/>
          <w:szCs w:val="20"/>
          <w:lang w:eastAsia="es-CR"/>
        </w:rPr>
        <w:fldChar w:fldCharType="separate"/>
      </w:r>
      <w:r w:rsidRPr="00017EE6">
        <w:rPr>
          <w:rFonts w:ascii="Calibri" w:eastAsia="Times New Roman" w:hAnsi="Calibri" w:cs="Calibri"/>
          <w:color w:val="800080"/>
          <w:sz w:val="20"/>
          <w:u w:val="single"/>
          <w:vertAlign w:val="superscript"/>
          <w:lang w:eastAsia="es-CR"/>
        </w:rPr>
        <w:t>[3]</w:t>
      </w:r>
      <w:r w:rsidRPr="00017EE6">
        <w:rPr>
          <w:rFonts w:ascii="Times New Roman" w:eastAsia="Times New Roman" w:hAnsi="Times New Roman" w:cs="Times New Roman"/>
          <w:color w:val="000000"/>
          <w:sz w:val="20"/>
          <w:szCs w:val="20"/>
          <w:lang w:eastAsia="es-CR"/>
        </w:rPr>
        <w:fldChar w:fldCharType="end"/>
      </w:r>
      <w:bookmarkEnd w:id="16"/>
      <w:r w:rsidRPr="00017EE6">
        <w:rPr>
          <w:rFonts w:ascii="Calibri" w:eastAsia="Times New Roman" w:hAnsi="Calibri" w:cs="Calibri"/>
          <w:color w:val="000000"/>
          <w:sz w:val="20"/>
          <w:lang w:eastAsia="es-CR"/>
        </w:rPr>
        <w:t> </w:t>
      </w:r>
      <w:r w:rsidRPr="00017EE6">
        <w:rPr>
          <w:rFonts w:ascii="Calibri" w:eastAsia="Times New Roman" w:hAnsi="Calibri" w:cs="Calibri"/>
          <w:color w:val="000000"/>
          <w:sz w:val="20"/>
          <w:szCs w:val="20"/>
          <w:lang w:eastAsia="es-CR"/>
        </w:rPr>
        <w:t>Fallo</w:t>
      </w:r>
      <w:r w:rsidRPr="00017EE6">
        <w:rPr>
          <w:rFonts w:ascii="Calibri" w:eastAsia="Times New Roman" w:hAnsi="Calibri" w:cs="Calibri"/>
          <w:color w:val="000000"/>
          <w:sz w:val="20"/>
          <w:lang w:eastAsia="es-CR"/>
        </w:rPr>
        <w:t> </w:t>
      </w:r>
      <w:r w:rsidRPr="00017EE6">
        <w:rPr>
          <w:rFonts w:ascii="Calibri" w:eastAsia="Times New Roman" w:hAnsi="Calibri" w:cs="Calibri"/>
          <w:color w:val="000000"/>
          <w:sz w:val="20"/>
          <w:szCs w:val="20"/>
          <w:lang w:eastAsia="es-CR"/>
        </w:rPr>
        <w:t>No.221-2003. Tribunal Fiscal Administrativo. San </w:t>
      </w:r>
      <w:r w:rsidRPr="00017EE6">
        <w:rPr>
          <w:rFonts w:ascii="Calibri" w:eastAsia="Times New Roman" w:hAnsi="Calibri" w:cs="Calibri"/>
          <w:color w:val="000000"/>
          <w:sz w:val="20"/>
          <w:lang w:eastAsia="es-CR"/>
        </w:rPr>
        <w:t> </w:t>
      </w:r>
      <w:r w:rsidRPr="00017EE6">
        <w:rPr>
          <w:rFonts w:ascii="Calibri" w:eastAsia="Times New Roman" w:hAnsi="Calibri" w:cs="Calibri"/>
          <w:color w:val="000000"/>
          <w:sz w:val="20"/>
          <w:szCs w:val="20"/>
          <w:lang w:eastAsia="es-CR"/>
        </w:rPr>
        <w:t>José, </w:t>
      </w:r>
      <w:r w:rsidRPr="00017EE6">
        <w:rPr>
          <w:rFonts w:ascii="Calibri" w:eastAsia="Times New Roman" w:hAnsi="Calibri" w:cs="Calibri"/>
          <w:color w:val="000000"/>
          <w:sz w:val="20"/>
          <w:lang w:eastAsia="es-CR"/>
        </w:rPr>
        <w:t> </w:t>
      </w:r>
      <w:r w:rsidRPr="00017EE6">
        <w:rPr>
          <w:rFonts w:ascii="Calibri" w:eastAsia="Times New Roman" w:hAnsi="Calibri" w:cs="Calibri"/>
          <w:color w:val="000000"/>
          <w:sz w:val="20"/>
          <w:szCs w:val="20"/>
          <w:lang w:eastAsia="es-CR"/>
        </w:rPr>
        <w:t>a las 15:00 horas del 04 de junio de 2003.</w:t>
      </w:r>
    </w:p>
    <w:bookmarkStart w:id="17" w:name="_ftn4"/>
    <w:p w:rsidR="00017EE6" w:rsidRPr="00017EE6" w:rsidRDefault="00017EE6" w:rsidP="00017EE6">
      <w:pPr>
        <w:spacing w:after="0" w:line="240" w:lineRule="auto"/>
        <w:ind w:left="567" w:right="51" w:hanging="141"/>
        <w:jc w:val="both"/>
        <w:rPr>
          <w:rFonts w:ascii="Calibri" w:eastAsia="Times New Roman" w:hAnsi="Calibri" w:cs="Calibri"/>
          <w:color w:val="000000"/>
          <w:lang w:eastAsia="es-CR"/>
        </w:rPr>
      </w:pPr>
      <w:r w:rsidRPr="00017EE6">
        <w:rPr>
          <w:rFonts w:ascii="Calibri" w:eastAsia="Times New Roman" w:hAnsi="Calibri" w:cs="Calibri"/>
          <w:color w:val="000000"/>
          <w:lang w:eastAsia="es-CR"/>
        </w:rPr>
        <w:fldChar w:fldCharType="begin"/>
      </w:r>
      <w:r w:rsidRPr="00017EE6">
        <w:rPr>
          <w:rFonts w:ascii="Calibri" w:eastAsia="Times New Roman" w:hAnsi="Calibri" w:cs="Calibri"/>
          <w:color w:val="000000"/>
          <w:lang w:eastAsia="es-CR"/>
        </w:rPr>
        <w:instrText xml:space="preserve"> HYPERLINK "http://196.40.56.20/DOCUWEB/1/INCREMENTOPATRIMONIALNOJUSTIFICADO.html" \l "_ftnref4" \o "" </w:instrText>
      </w:r>
      <w:r w:rsidRPr="00017EE6">
        <w:rPr>
          <w:rFonts w:ascii="Calibri" w:eastAsia="Times New Roman" w:hAnsi="Calibri" w:cs="Calibri"/>
          <w:color w:val="000000"/>
          <w:lang w:eastAsia="es-CR"/>
        </w:rPr>
        <w:fldChar w:fldCharType="separate"/>
      </w:r>
      <w:r w:rsidRPr="00017EE6">
        <w:rPr>
          <w:rFonts w:ascii="Calibri" w:eastAsia="Times New Roman" w:hAnsi="Calibri" w:cs="Calibri"/>
          <w:color w:val="800080"/>
          <w:sz w:val="20"/>
          <w:u w:val="single"/>
          <w:vertAlign w:val="superscript"/>
          <w:lang w:eastAsia="es-CR"/>
        </w:rPr>
        <w:t>[4]</w:t>
      </w:r>
      <w:r w:rsidRPr="00017EE6">
        <w:rPr>
          <w:rFonts w:ascii="Calibri" w:eastAsia="Times New Roman" w:hAnsi="Calibri" w:cs="Calibri"/>
          <w:color w:val="000000"/>
          <w:lang w:eastAsia="es-CR"/>
        </w:rPr>
        <w:fldChar w:fldCharType="end"/>
      </w:r>
      <w:bookmarkEnd w:id="17"/>
      <w:r w:rsidRPr="00017EE6">
        <w:rPr>
          <w:rFonts w:ascii="Calibri" w:eastAsia="Times New Roman" w:hAnsi="Calibri" w:cs="Calibri"/>
          <w:color w:val="000000"/>
          <w:sz w:val="20"/>
          <w:lang w:eastAsia="es-CR"/>
        </w:rPr>
        <w:t> </w:t>
      </w:r>
      <w:r w:rsidRPr="00017EE6">
        <w:rPr>
          <w:rFonts w:ascii="Calibri" w:eastAsia="Times New Roman" w:hAnsi="Calibri" w:cs="Calibri"/>
          <w:color w:val="000000"/>
          <w:sz w:val="20"/>
          <w:szCs w:val="20"/>
          <w:lang w:eastAsia="es-CR"/>
        </w:rPr>
        <w:t>Oreamuno, </w:t>
      </w:r>
      <w:r w:rsidRPr="00017EE6">
        <w:rPr>
          <w:rFonts w:ascii="Calibri" w:eastAsia="Times New Roman" w:hAnsi="Calibri" w:cs="Calibri"/>
          <w:color w:val="000000"/>
          <w:sz w:val="20"/>
          <w:lang w:eastAsia="es-CR"/>
        </w:rPr>
        <w:t> </w:t>
      </w:r>
      <w:r w:rsidRPr="00017EE6">
        <w:rPr>
          <w:rFonts w:ascii="Calibri" w:eastAsia="Times New Roman" w:hAnsi="Calibri" w:cs="Calibri"/>
          <w:color w:val="000000"/>
          <w:sz w:val="20"/>
          <w:szCs w:val="20"/>
          <w:lang w:eastAsia="es-CR"/>
        </w:rPr>
        <w:t>José Mª, “Las Rentas Presuntivas por el ejercicio liberal de profesionales y técnicos en la Ley del Impuesto sobre   </w:t>
      </w:r>
      <w:r w:rsidRPr="00017EE6">
        <w:rPr>
          <w:rFonts w:ascii="Calibri" w:eastAsia="Times New Roman" w:hAnsi="Calibri" w:cs="Calibri"/>
          <w:color w:val="000000"/>
          <w:sz w:val="20"/>
          <w:lang w:eastAsia="es-CR"/>
        </w:rPr>
        <w:t> </w:t>
      </w:r>
      <w:r w:rsidRPr="00017EE6">
        <w:rPr>
          <w:rFonts w:ascii="Calibri" w:eastAsia="Times New Roman" w:hAnsi="Calibri" w:cs="Calibri"/>
          <w:color w:val="000000"/>
          <w:sz w:val="20"/>
          <w:szCs w:val="20"/>
          <w:lang w:eastAsia="es-CR"/>
        </w:rPr>
        <w:t>la Renta”:</w:t>
      </w:r>
    </w:p>
    <w:p w:rsidR="00017EE6" w:rsidRPr="00017EE6" w:rsidRDefault="00017EE6" w:rsidP="00017EE6">
      <w:pPr>
        <w:spacing w:after="0" w:line="240" w:lineRule="auto"/>
        <w:ind w:left="567" w:right="51" w:hanging="141"/>
        <w:jc w:val="both"/>
        <w:rPr>
          <w:rFonts w:ascii="Calibri" w:eastAsia="Times New Roman" w:hAnsi="Calibri" w:cs="Calibri"/>
          <w:color w:val="000000"/>
          <w:lang w:eastAsia="es-CR"/>
        </w:rPr>
      </w:pPr>
      <w:r w:rsidRPr="00017EE6">
        <w:rPr>
          <w:rFonts w:ascii="Calibri" w:eastAsia="Times New Roman" w:hAnsi="Calibri" w:cs="Calibri"/>
          <w:color w:val="000000"/>
          <w:sz w:val="20"/>
          <w:szCs w:val="20"/>
          <w:lang w:eastAsia="es-CR"/>
        </w:rPr>
        <w:t> http://documentos.cgr.go.cr/content/dav/jaguar/documentos/Ingresos/compendio/doctrina/Rentas_Presuntivas.doc</w:t>
      </w:r>
    </w:p>
    <w:bookmarkStart w:id="18" w:name="_ftn5"/>
    <w:p w:rsidR="00017EE6" w:rsidRPr="00017EE6" w:rsidRDefault="00017EE6" w:rsidP="00017EE6">
      <w:pPr>
        <w:spacing w:after="0" w:line="285" w:lineRule="atLeast"/>
        <w:ind w:left="426" w:right="51"/>
        <w:jc w:val="both"/>
        <w:rPr>
          <w:rFonts w:ascii="Times New Roman" w:eastAsia="Times New Roman" w:hAnsi="Times New Roman" w:cs="Times New Roman"/>
          <w:color w:val="000000"/>
          <w:sz w:val="20"/>
          <w:szCs w:val="20"/>
          <w:lang w:eastAsia="es-CR"/>
        </w:rPr>
      </w:pPr>
      <w:r w:rsidRPr="00017EE6">
        <w:rPr>
          <w:rFonts w:ascii="Times New Roman" w:eastAsia="Times New Roman" w:hAnsi="Times New Roman" w:cs="Times New Roman"/>
          <w:color w:val="000000"/>
          <w:sz w:val="20"/>
          <w:szCs w:val="20"/>
          <w:lang w:eastAsia="es-CR"/>
        </w:rPr>
        <w:fldChar w:fldCharType="begin"/>
      </w:r>
      <w:r w:rsidRPr="00017EE6">
        <w:rPr>
          <w:rFonts w:ascii="Times New Roman" w:eastAsia="Times New Roman" w:hAnsi="Times New Roman" w:cs="Times New Roman"/>
          <w:color w:val="000000"/>
          <w:sz w:val="20"/>
          <w:szCs w:val="20"/>
          <w:lang w:eastAsia="es-CR"/>
        </w:rPr>
        <w:instrText xml:space="preserve"> HYPERLINK "http://196.40.56.20/DOCUWEB/1/INCREMENTOPATRIMONIALNOJUSTIFICADO.html" \l "_ftnref5" \o "" </w:instrText>
      </w:r>
      <w:r w:rsidRPr="00017EE6">
        <w:rPr>
          <w:rFonts w:ascii="Times New Roman" w:eastAsia="Times New Roman" w:hAnsi="Times New Roman" w:cs="Times New Roman"/>
          <w:color w:val="000000"/>
          <w:sz w:val="20"/>
          <w:szCs w:val="20"/>
          <w:lang w:eastAsia="es-CR"/>
        </w:rPr>
        <w:fldChar w:fldCharType="separate"/>
      </w:r>
      <w:r w:rsidRPr="00017EE6">
        <w:rPr>
          <w:rFonts w:ascii="Times New Roman" w:eastAsia="Times New Roman" w:hAnsi="Times New Roman" w:cs="Times New Roman"/>
          <w:color w:val="800080"/>
          <w:sz w:val="20"/>
          <w:u w:val="single"/>
          <w:vertAlign w:val="superscript"/>
          <w:lang w:eastAsia="es-CR"/>
        </w:rPr>
        <w:t>[5]</w:t>
      </w:r>
      <w:r w:rsidRPr="00017EE6">
        <w:rPr>
          <w:rFonts w:ascii="Times New Roman" w:eastAsia="Times New Roman" w:hAnsi="Times New Roman" w:cs="Times New Roman"/>
          <w:color w:val="000000"/>
          <w:sz w:val="20"/>
          <w:szCs w:val="20"/>
          <w:lang w:eastAsia="es-CR"/>
        </w:rPr>
        <w:fldChar w:fldCharType="end"/>
      </w:r>
      <w:bookmarkEnd w:id="18"/>
      <w:r w:rsidRPr="00017EE6">
        <w:rPr>
          <w:rFonts w:ascii="Times New Roman" w:eastAsia="Times New Roman" w:hAnsi="Times New Roman" w:cs="Times New Roman"/>
          <w:color w:val="000000"/>
          <w:sz w:val="20"/>
          <w:lang w:eastAsia="es-CR"/>
        </w:rPr>
        <w:t> </w:t>
      </w:r>
      <w:r w:rsidRPr="00017EE6">
        <w:rPr>
          <w:rFonts w:ascii="Times New Roman" w:eastAsia="Times New Roman" w:hAnsi="Times New Roman" w:cs="Times New Roman"/>
          <w:color w:val="000000"/>
          <w:sz w:val="20"/>
          <w:szCs w:val="20"/>
          <w:lang w:eastAsia="es-CR"/>
        </w:rPr>
        <w:t>Simón Acosta, Simón. </w:t>
      </w:r>
      <w:r w:rsidRPr="00017EE6">
        <w:rPr>
          <w:rFonts w:ascii="Times New Roman" w:eastAsia="Times New Roman" w:hAnsi="Times New Roman" w:cs="Times New Roman"/>
          <w:color w:val="000000"/>
          <w:sz w:val="20"/>
          <w:lang w:eastAsia="es-CR"/>
        </w:rPr>
        <w:t> </w:t>
      </w:r>
      <w:r w:rsidRPr="00017EE6">
        <w:rPr>
          <w:rFonts w:ascii="Times New Roman" w:eastAsia="Times New Roman" w:hAnsi="Times New Roman" w:cs="Times New Roman"/>
          <w:color w:val="000000"/>
          <w:sz w:val="20"/>
          <w:szCs w:val="20"/>
          <w:u w:val="single"/>
          <w:lang w:eastAsia="es-CR"/>
        </w:rPr>
        <w:t>Los Incrementos No Justificados de Patrimonio.</w:t>
      </w:r>
      <w:r w:rsidRPr="00017EE6">
        <w:rPr>
          <w:rFonts w:ascii="Times New Roman" w:eastAsia="Times New Roman" w:hAnsi="Times New Roman" w:cs="Times New Roman"/>
          <w:color w:val="000000"/>
          <w:sz w:val="20"/>
          <w:szCs w:val="20"/>
          <w:lang w:eastAsia="es-CR"/>
        </w:rPr>
        <w:t> </w:t>
      </w:r>
      <w:r w:rsidRPr="00017EE6">
        <w:rPr>
          <w:rFonts w:ascii="Times New Roman" w:eastAsia="Times New Roman" w:hAnsi="Times New Roman" w:cs="Times New Roman"/>
          <w:color w:val="000000"/>
          <w:sz w:val="20"/>
          <w:lang w:eastAsia="es-CR"/>
        </w:rPr>
        <w:t> </w:t>
      </w:r>
      <w:r w:rsidRPr="00017EE6">
        <w:rPr>
          <w:rFonts w:ascii="Times New Roman" w:eastAsia="Times New Roman" w:hAnsi="Times New Roman" w:cs="Times New Roman"/>
          <w:color w:val="000000"/>
          <w:sz w:val="20"/>
          <w:szCs w:val="20"/>
          <w:lang w:eastAsia="es-CR"/>
        </w:rPr>
        <w:t>Editorial Aranzadi, S.A. 31486 Elcano (Navarra), España. </w:t>
      </w:r>
      <w:r w:rsidRPr="00017EE6">
        <w:rPr>
          <w:rFonts w:ascii="Times New Roman" w:eastAsia="Times New Roman" w:hAnsi="Times New Roman" w:cs="Times New Roman"/>
          <w:color w:val="000000"/>
          <w:sz w:val="20"/>
          <w:lang w:eastAsia="es-CR"/>
        </w:rPr>
        <w:t> </w:t>
      </w:r>
      <w:r w:rsidRPr="00017EE6">
        <w:rPr>
          <w:rFonts w:ascii="Times New Roman" w:eastAsia="Times New Roman" w:hAnsi="Times New Roman" w:cs="Times New Roman"/>
          <w:color w:val="000000"/>
          <w:sz w:val="20"/>
          <w:szCs w:val="20"/>
          <w:lang w:eastAsia="es-CR"/>
        </w:rPr>
        <w:t>1997. </w:t>
      </w:r>
      <w:r w:rsidRPr="00017EE6">
        <w:rPr>
          <w:rFonts w:ascii="Times New Roman" w:eastAsia="Times New Roman" w:hAnsi="Times New Roman" w:cs="Times New Roman"/>
          <w:color w:val="000000"/>
          <w:sz w:val="20"/>
          <w:lang w:eastAsia="es-CR"/>
        </w:rPr>
        <w:t> </w:t>
      </w:r>
      <w:r w:rsidRPr="00017EE6">
        <w:rPr>
          <w:rFonts w:ascii="Times New Roman" w:eastAsia="Times New Roman" w:hAnsi="Times New Roman" w:cs="Times New Roman"/>
          <w:color w:val="000000"/>
          <w:sz w:val="20"/>
          <w:szCs w:val="20"/>
          <w:lang w:eastAsia="es-CR"/>
        </w:rPr>
        <w:t>Pág. 13</w:t>
      </w:r>
    </w:p>
    <w:bookmarkStart w:id="19" w:name="_ftn6"/>
    <w:p w:rsidR="00017EE6" w:rsidRPr="00017EE6" w:rsidRDefault="00017EE6" w:rsidP="00017EE6">
      <w:pPr>
        <w:spacing w:after="0" w:line="285" w:lineRule="atLeast"/>
        <w:ind w:left="426" w:right="51"/>
        <w:jc w:val="both"/>
        <w:rPr>
          <w:rFonts w:ascii="Times New Roman" w:eastAsia="Times New Roman" w:hAnsi="Times New Roman" w:cs="Times New Roman"/>
          <w:color w:val="000000"/>
          <w:sz w:val="20"/>
          <w:szCs w:val="20"/>
          <w:lang w:eastAsia="es-CR"/>
        </w:rPr>
      </w:pPr>
      <w:r w:rsidRPr="00017EE6">
        <w:rPr>
          <w:rFonts w:ascii="Times New Roman" w:eastAsia="Times New Roman" w:hAnsi="Times New Roman" w:cs="Times New Roman"/>
          <w:color w:val="000000"/>
          <w:sz w:val="20"/>
          <w:szCs w:val="20"/>
          <w:lang w:eastAsia="es-CR"/>
        </w:rPr>
        <w:fldChar w:fldCharType="begin"/>
      </w:r>
      <w:r w:rsidRPr="00017EE6">
        <w:rPr>
          <w:rFonts w:ascii="Times New Roman" w:eastAsia="Times New Roman" w:hAnsi="Times New Roman" w:cs="Times New Roman"/>
          <w:color w:val="000000"/>
          <w:sz w:val="20"/>
          <w:szCs w:val="20"/>
          <w:lang w:eastAsia="es-CR"/>
        </w:rPr>
        <w:instrText xml:space="preserve"> HYPERLINK "http://196.40.56.20/DOCUWEB/1/INCREMENTOPATRIMONIALNOJUSTIFICADO.html" \l "_ftnref6" \o "" </w:instrText>
      </w:r>
      <w:r w:rsidRPr="00017EE6">
        <w:rPr>
          <w:rFonts w:ascii="Times New Roman" w:eastAsia="Times New Roman" w:hAnsi="Times New Roman" w:cs="Times New Roman"/>
          <w:color w:val="000000"/>
          <w:sz w:val="20"/>
          <w:szCs w:val="20"/>
          <w:lang w:eastAsia="es-CR"/>
        </w:rPr>
        <w:fldChar w:fldCharType="separate"/>
      </w:r>
      <w:r w:rsidRPr="00017EE6">
        <w:rPr>
          <w:rFonts w:ascii="Times New Roman" w:eastAsia="Times New Roman" w:hAnsi="Times New Roman" w:cs="Times New Roman"/>
          <w:color w:val="800080"/>
          <w:sz w:val="20"/>
          <w:u w:val="single"/>
          <w:vertAlign w:val="superscript"/>
          <w:lang w:eastAsia="es-CR"/>
        </w:rPr>
        <w:t>[6]</w:t>
      </w:r>
      <w:r w:rsidRPr="00017EE6">
        <w:rPr>
          <w:rFonts w:ascii="Times New Roman" w:eastAsia="Times New Roman" w:hAnsi="Times New Roman" w:cs="Times New Roman"/>
          <w:color w:val="000000"/>
          <w:sz w:val="20"/>
          <w:szCs w:val="20"/>
          <w:lang w:eastAsia="es-CR"/>
        </w:rPr>
        <w:fldChar w:fldCharType="end"/>
      </w:r>
      <w:bookmarkEnd w:id="19"/>
      <w:r w:rsidRPr="00017EE6">
        <w:rPr>
          <w:rFonts w:ascii="Times New Roman" w:eastAsia="Times New Roman" w:hAnsi="Times New Roman" w:cs="Times New Roman"/>
          <w:color w:val="000000"/>
          <w:sz w:val="20"/>
          <w:lang w:eastAsia="es-CR"/>
        </w:rPr>
        <w:t> </w:t>
      </w:r>
      <w:r w:rsidRPr="00017EE6">
        <w:rPr>
          <w:rFonts w:ascii="Times New Roman" w:eastAsia="Times New Roman" w:hAnsi="Times New Roman" w:cs="Times New Roman"/>
          <w:color w:val="000000"/>
          <w:sz w:val="20"/>
          <w:szCs w:val="20"/>
          <w:lang w:eastAsia="es-CR"/>
        </w:rPr>
        <w:t>Chico de la Cámara, Pablo.</w:t>
      </w:r>
      <w:r w:rsidRPr="00017EE6">
        <w:rPr>
          <w:rFonts w:ascii="Times New Roman" w:eastAsia="Times New Roman" w:hAnsi="Times New Roman" w:cs="Times New Roman"/>
          <w:color w:val="000000"/>
          <w:sz w:val="20"/>
          <w:lang w:eastAsia="es-CR"/>
        </w:rPr>
        <w:t> </w:t>
      </w:r>
      <w:r w:rsidRPr="00017EE6">
        <w:rPr>
          <w:rFonts w:ascii="Times New Roman" w:eastAsia="Times New Roman" w:hAnsi="Times New Roman" w:cs="Times New Roman"/>
          <w:color w:val="000000"/>
          <w:sz w:val="20"/>
          <w:szCs w:val="20"/>
          <w:u w:val="single"/>
          <w:lang w:eastAsia="es-CR"/>
        </w:rPr>
        <w:t>Las Ganancias no justificadas de Patrimonio en el IRPF.</w:t>
      </w:r>
      <w:r w:rsidRPr="00017EE6">
        <w:rPr>
          <w:rFonts w:ascii="Times New Roman" w:eastAsia="Times New Roman" w:hAnsi="Times New Roman" w:cs="Times New Roman"/>
          <w:color w:val="000000"/>
          <w:sz w:val="20"/>
          <w:u w:val="single"/>
          <w:lang w:eastAsia="es-CR"/>
        </w:rPr>
        <w:t> </w:t>
      </w:r>
      <w:r w:rsidRPr="00017EE6">
        <w:rPr>
          <w:rFonts w:ascii="Times New Roman" w:eastAsia="Times New Roman" w:hAnsi="Times New Roman" w:cs="Times New Roman"/>
          <w:color w:val="000000"/>
          <w:sz w:val="20"/>
          <w:szCs w:val="20"/>
          <w:lang w:eastAsia="es-CR"/>
        </w:rPr>
        <w:t> Marcial Pons, Ediciones Jurídicas y Sociales, S.A. Madrid, España. </w:t>
      </w:r>
      <w:r w:rsidRPr="00017EE6">
        <w:rPr>
          <w:rFonts w:ascii="Times New Roman" w:eastAsia="Times New Roman" w:hAnsi="Times New Roman" w:cs="Times New Roman"/>
          <w:color w:val="000000"/>
          <w:sz w:val="20"/>
          <w:lang w:eastAsia="es-CR"/>
        </w:rPr>
        <w:t> </w:t>
      </w:r>
      <w:r w:rsidRPr="00017EE6">
        <w:rPr>
          <w:rFonts w:ascii="Times New Roman" w:eastAsia="Times New Roman" w:hAnsi="Times New Roman" w:cs="Times New Roman"/>
          <w:color w:val="000000"/>
          <w:sz w:val="20"/>
          <w:szCs w:val="20"/>
          <w:lang w:eastAsia="es-CR"/>
        </w:rPr>
        <w:t>1999. Págs. 21 y 22.</w:t>
      </w:r>
    </w:p>
    <w:bookmarkStart w:id="20" w:name="_ftn7"/>
    <w:p w:rsidR="00017EE6" w:rsidRPr="00017EE6" w:rsidRDefault="00017EE6" w:rsidP="00017EE6">
      <w:pPr>
        <w:spacing w:after="0" w:line="240" w:lineRule="auto"/>
        <w:ind w:right="618"/>
        <w:jc w:val="both"/>
        <w:rPr>
          <w:rFonts w:ascii="Times New Roman" w:eastAsia="Times New Roman" w:hAnsi="Times New Roman" w:cs="Times New Roman"/>
          <w:color w:val="000000"/>
          <w:sz w:val="20"/>
          <w:szCs w:val="20"/>
          <w:lang w:eastAsia="es-CR"/>
        </w:rPr>
      </w:pPr>
      <w:r w:rsidRPr="00017EE6">
        <w:rPr>
          <w:rFonts w:ascii="Times New Roman" w:eastAsia="Times New Roman" w:hAnsi="Times New Roman" w:cs="Times New Roman"/>
          <w:color w:val="000000"/>
          <w:sz w:val="20"/>
          <w:szCs w:val="20"/>
          <w:lang w:eastAsia="es-CR"/>
        </w:rPr>
        <w:fldChar w:fldCharType="begin"/>
      </w:r>
      <w:r w:rsidRPr="00017EE6">
        <w:rPr>
          <w:rFonts w:ascii="Times New Roman" w:eastAsia="Times New Roman" w:hAnsi="Times New Roman" w:cs="Times New Roman"/>
          <w:color w:val="000000"/>
          <w:sz w:val="20"/>
          <w:szCs w:val="20"/>
          <w:lang w:eastAsia="es-CR"/>
        </w:rPr>
        <w:instrText xml:space="preserve"> HYPERLINK "http://196.40.56.20/DOCUWEB/1/INCREMENTOPATRIMONIALNOJUSTIFICADO.html" \l "_ftnref7" \o "" </w:instrText>
      </w:r>
      <w:r w:rsidRPr="00017EE6">
        <w:rPr>
          <w:rFonts w:ascii="Times New Roman" w:eastAsia="Times New Roman" w:hAnsi="Times New Roman" w:cs="Times New Roman"/>
          <w:color w:val="000000"/>
          <w:sz w:val="20"/>
          <w:szCs w:val="20"/>
          <w:lang w:eastAsia="es-CR"/>
        </w:rPr>
        <w:fldChar w:fldCharType="separate"/>
      </w:r>
      <w:r w:rsidRPr="00017EE6">
        <w:rPr>
          <w:rFonts w:ascii="Calibri" w:eastAsia="Times New Roman" w:hAnsi="Calibri" w:cs="Calibri"/>
          <w:color w:val="800080"/>
          <w:sz w:val="20"/>
          <w:u w:val="single"/>
          <w:vertAlign w:val="superscript"/>
          <w:lang w:eastAsia="es-CR"/>
        </w:rPr>
        <w:t>[7]</w:t>
      </w:r>
      <w:r w:rsidRPr="00017EE6">
        <w:rPr>
          <w:rFonts w:ascii="Times New Roman" w:eastAsia="Times New Roman" w:hAnsi="Times New Roman" w:cs="Times New Roman"/>
          <w:color w:val="000000"/>
          <w:sz w:val="20"/>
          <w:szCs w:val="20"/>
          <w:lang w:eastAsia="es-CR"/>
        </w:rPr>
        <w:fldChar w:fldCharType="end"/>
      </w:r>
      <w:bookmarkEnd w:id="20"/>
      <w:r w:rsidRPr="00017EE6">
        <w:rPr>
          <w:rFonts w:ascii="Calibri" w:eastAsia="Times New Roman" w:hAnsi="Calibri" w:cs="Calibri"/>
          <w:color w:val="000000"/>
          <w:sz w:val="20"/>
          <w:lang w:eastAsia="es-CR"/>
        </w:rPr>
        <w:t> </w:t>
      </w:r>
      <w:r w:rsidRPr="00017EE6">
        <w:rPr>
          <w:rFonts w:ascii="Calibri" w:eastAsia="Times New Roman" w:hAnsi="Calibri" w:cs="Calibri"/>
          <w:color w:val="000000"/>
          <w:sz w:val="20"/>
          <w:szCs w:val="20"/>
          <w:lang w:eastAsia="es-CR"/>
        </w:rPr>
        <w:t>Ver la sección</w:t>
      </w:r>
      <w:r w:rsidRPr="00017EE6">
        <w:rPr>
          <w:rFonts w:ascii="Calibri" w:eastAsia="Times New Roman" w:hAnsi="Calibri" w:cs="Calibri"/>
          <w:color w:val="000000"/>
          <w:sz w:val="20"/>
          <w:lang w:eastAsia="es-CR"/>
        </w:rPr>
        <w:t> </w:t>
      </w:r>
      <w:r w:rsidRPr="00017EE6">
        <w:rPr>
          <w:rFonts w:ascii="Calibri" w:eastAsia="Times New Roman" w:hAnsi="Calibri" w:cs="Calibri"/>
          <w:color w:val="000000"/>
          <w:sz w:val="20"/>
          <w:szCs w:val="20"/>
          <w:lang w:eastAsia="es-CR"/>
        </w:rPr>
        <w:t> “Hechos conocidos, ciertos o hecho base (no presuntos)” de este documento.</w:t>
      </w:r>
    </w:p>
    <w:bookmarkStart w:id="21" w:name="_ftn8"/>
    <w:p w:rsidR="00017EE6" w:rsidRPr="00017EE6" w:rsidRDefault="00017EE6" w:rsidP="00017EE6">
      <w:pPr>
        <w:spacing w:line="240" w:lineRule="auto"/>
        <w:ind w:right="618"/>
        <w:jc w:val="both"/>
        <w:rPr>
          <w:rFonts w:ascii="Calibri" w:eastAsia="Times New Roman" w:hAnsi="Calibri" w:cs="Calibri"/>
          <w:color w:val="000000"/>
          <w:lang w:eastAsia="es-CR"/>
        </w:rPr>
      </w:pPr>
      <w:r w:rsidRPr="00017EE6">
        <w:rPr>
          <w:rFonts w:ascii="Calibri" w:eastAsia="Times New Roman" w:hAnsi="Calibri" w:cs="Calibri"/>
          <w:color w:val="000000"/>
          <w:lang w:eastAsia="es-CR"/>
        </w:rPr>
        <w:fldChar w:fldCharType="begin"/>
      </w:r>
      <w:r w:rsidRPr="00017EE6">
        <w:rPr>
          <w:rFonts w:ascii="Calibri" w:eastAsia="Times New Roman" w:hAnsi="Calibri" w:cs="Calibri"/>
          <w:color w:val="000000"/>
          <w:lang w:eastAsia="es-CR"/>
        </w:rPr>
        <w:instrText xml:space="preserve"> HYPERLINK "http://196.40.56.20/DOCUWEB/1/INCREMENTOPATRIMONIALNOJUSTIFICADO.html" \l "_ftnref8" \o "" </w:instrText>
      </w:r>
      <w:r w:rsidRPr="00017EE6">
        <w:rPr>
          <w:rFonts w:ascii="Calibri" w:eastAsia="Times New Roman" w:hAnsi="Calibri" w:cs="Calibri"/>
          <w:color w:val="000000"/>
          <w:lang w:eastAsia="es-CR"/>
        </w:rPr>
        <w:fldChar w:fldCharType="separate"/>
      </w:r>
      <w:r w:rsidRPr="00017EE6">
        <w:rPr>
          <w:rFonts w:ascii="Calibri" w:eastAsia="Times New Roman" w:hAnsi="Calibri" w:cs="Calibri"/>
          <w:color w:val="000000"/>
          <w:sz w:val="20"/>
          <w:u w:val="single"/>
          <w:vertAlign w:val="superscript"/>
          <w:lang w:eastAsia="es-CR"/>
        </w:rPr>
        <w:t>[8]</w:t>
      </w:r>
      <w:r w:rsidRPr="00017EE6">
        <w:rPr>
          <w:rFonts w:ascii="Calibri" w:eastAsia="Times New Roman" w:hAnsi="Calibri" w:cs="Calibri"/>
          <w:color w:val="000000"/>
          <w:lang w:eastAsia="es-CR"/>
        </w:rPr>
        <w:fldChar w:fldCharType="end"/>
      </w:r>
      <w:bookmarkEnd w:id="21"/>
      <w:r w:rsidRPr="00017EE6">
        <w:rPr>
          <w:rFonts w:ascii="Calibri" w:eastAsia="Times New Roman" w:hAnsi="Calibri" w:cs="Calibri"/>
          <w:color w:val="000000"/>
          <w:sz w:val="20"/>
          <w:lang w:eastAsia="es-CR"/>
        </w:rPr>
        <w:t> </w:t>
      </w:r>
      <w:r w:rsidRPr="00017EE6">
        <w:rPr>
          <w:rFonts w:ascii="Calibri" w:eastAsia="Times New Roman" w:hAnsi="Calibri" w:cs="Calibri"/>
          <w:color w:val="000000"/>
          <w:sz w:val="20"/>
          <w:szCs w:val="20"/>
          <w:lang w:eastAsia="es-CR"/>
        </w:rPr>
        <w:t>Es importante tener claro el vínculo que existe entre los artículos 5 y 8 de referencia con el “criterio de renta producto”, propio del artículo 5 de la LIR. Al desprenderse de la norma que dichos incrementos patrimoniales devienen de la generación de rentas gravables omitidas, es porque se presume que dichas rentas ocultas son producto de actividades económicas ordinarias y propias del contribuyente fiscalizado; sin embargo, como sólo es una presunción, debemos primero tener prueba suficiente que demuestre la veracidad del incremento y su no inclusión dentro de las rentas ya declaradas como gravables.</w:t>
      </w:r>
    </w:p>
    <w:bookmarkStart w:id="22" w:name="_ftn9"/>
    <w:p w:rsidR="00017EE6" w:rsidRPr="00017EE6" w:rsidRDefault="00017EE6" w:rsidP="00017EE6">
      <w:pPr>
        <w:spacing w:after="0" w:line="240" w:lineRule="auto"/>
        <w:ind w:right="618"/>
        <w:jc w:val="both"/>
        <w:rPr>
          <w:rFonts w:ascii="Times New Roman" w:eastAsia="Times New Roman" w:hAnsi="Times New Roman" w:cs="Times New Roman"/>
          <w:color w:val="000000"/>
          <w:sz w:val="20"/>
          <w:szCs w:val="20"/>
          <w:lang w:eastAsia="es-CR"/>
        </w:rPr>
      </w:pPr>
      <w:r w:rsidRPr="00017EE6">
        <w:rPr>
          <w:rFonts w:ascii="Times New Roman" w:eastAsia="Times New Roman" w:hAnsi="Times New Roman" w:cs="Times New Roman"/>
          <w:color w:val="000000"/>
          <w:sz w:val="20"/>
          <w:szCs w:val="20"/>
          <w:lang w:eastAsia="es-CR"/>
        </w:rPr>
        <w:lastRenderedPageBreak/>
        <w:fldChar w:fldCharType="begin"/>
      </w:r>
      <w:r w:rsidRPr="00017EE6">
        <w:rPr>
          <w:rFonts w:ascii="Times New Roman" w:eastAsia="Times New Roman" w:hAnsi="Times New Roman" w:cs="Times New Roman"/>
          <w:color w:val="000000"/>
          <w:sz w:val="20"/>
          <w:szCs w:val="20"/>
          <w:lang w:eastAsia="es-CR"/>
        </w:rPr>
        <w:instrText xml:space="preserve"> HYPERLINK "http://196.40.56.20/DOCUWEB/1/INCREMENTOPATRIMONIALNOJUSTIFICADO.html" \l "_ftnref9" \o "" </w:instrText>
      </w:r>
      <w:r w:rsidRPr="00017EE6">
        <w:rPr>
          <w:rFonts w:ascii="Times New Roman" w:eastAsia="Times New Roman" w:hAnsi="Times New Roman" w:cs="Times New Roman"/>
          <w:color w:val="000000"/>
          <w:sz w:val="20"/>
          <w:szCs w:val="20"/>
          <w:lang w:eastAsia="es-CR"/>
        </w:rPr>
        <w:fldChar w:fldCharType="separate"/>
      </w:r>
      <w:r w:rsidRPr="00017EE6">
        <w:rPr>
          <w:rFonts w:ascii="Calibri" w:eastAsia="Times New Roman" w:hAnsi="Calibri" w:cs="Calibri"/>
          <w:color w:val="000000"/>
          <w:sz w:val="20"/>
          <w:u w:val="single"/>
          <w:vertAlign w:val="superscript"/>
          <w:lang w:eastAsia="es-CR"/>
        </w:rPr>
        <w:t>[9]</w:t>
      </w:r>
      <w:r w:rsidRPr="00017EE6">
        <w:rPr>
          <w:rFonts w:ascii="Times New Roman" w:eastAsia="Times New Roman" w:hAnsi="Times New Roman" w:cs="Times New Roman"/>
          <w:color w:val="000000"/>
          <w:sz w:val="20"/>
          <w:szCs w:val="20"/>
          <w:lang w:eastAsia="es-CR"/>
        </w:rPr>
        <w:fldChar w:fldCharType="end"/>
      </w:r>
      <w:bookmarkEnd w:id="22"/>
      <w:r w:rsidRPr="00017EE6">
        <w:rPr>
          <w:rFonts w:ascii="Calibri" w:eastAsia="Times New Roman" w:hAnsi="Calibri" w:cs="Calibri"/>
          <w:color w:val="000000"/>
          <w:sz w:val="20"/>
          <w:lang w:eastAsia="es-CR"/>
        </w:rPr>
        <w:t> </w:t>
      </w:r>
      <w:r w:rsidRPr="00017EE6">
        <w:rPr>
          <w:rFonts w:ascii="Calibri" w:eastAsia="Times New Roman" w:hAnsi="Calibri" w:cs="Calibri"/>
          <w:color w:val="000000"/>
          <w:sz w:val="20"/>
          <w:szCs w:val="20"/>
          <w:lang w:eastAsia="es-CR"/>
        </w:rPr>
        <w:t>“…Art. 19. RGGFR. Carga de la prueba.</w:t>
      </w:r>
      <w:r w:rsidRPr="00017EE6">
        <w:rPr>
          <w:rFonts w:ascii="Calibri" w:eastAsia="Times New Roman" w:hAnsi="Calibri" w:cs="Calibri"/>
          <w:color w:val="000000"/>
          <w:sz w:val="20"/>
          <w:lang w:eastAsia="es-CR"/>
        </w:rPr>
        <w:t> </w:t>
      </w:r>
      <w:r w:rsidRPr="00017EE6">
        <w:rPr>
          <w:rFonts w:ascii="Calibri" w:eastAsia="Times New Roman" w:hAnsi="Calibri" w:cs="Calibri"/>
          <w:i/>
          <w:iCs/>
          <w:color w:val="000000"/>
          <w:sz w:val="20"/>
          <w:szCs w:val="20"/>
          <w:lang w:eastAsia="es-CR"/>
        </w:rPr>
        <w:t>La carga de la prueba incumbe a la Administración Tributaria respecto de los hechos constitutivos de la obligación tributaria material, mientras que incumbe al contribuyente, responsable o declarante respecto de los hechos impeditivos, modificativos o extintivos de la obligación tributaria. En ese sentido, corresponderá a éstos últimos, según el caso, demostrar los hechos que configuren sus costos, gastos, pasivos, créditos fiscales, exenciones, no sujeciones, descuentos y en general los beneficios fiscales que alega existentes en su favor</w:t>
      </w:r>
      <w:r w:rsidRPr="00017EE6">
        <w:rPr>
          <w:rFonts w:ascii="Calibri" w:eastAsia="Times New Roman" w:hAnsi="Calibri" w:cs="Calibri"/>
          <w:color w:val="000000"/>
          <w:sz w:val="20"/>
          <w:szCs w:val="20"/>
          <w:lang w:eastAsia="es-CR"/>
        </w:rPr>
        <w:t>…”</w:t>
      </w:r>
    </w:p>
    <w:p w:rsidR="00017EE6" w:rsidRPr="00017EE6" w:rsidRDefault="00017EE6" w:rsidP="00017EE6">
      <w:pPr>
        <w:spacing w:after="0" w:line="240" w:lineRule="auto"/>
        <w:ind w:right="618"/>
        <w:jc w:val="both"/>
        <w:rPr>
          <w:rFonts w:ascii="Times New Roman" w:eastAsia="Times New Roman" w:hAnsi="Times New Roman" w:cs="Times New Roman"/>
          <w:color w:val="000000"/>
          <w:sz w:val="20"/>
          <w:szCs w:val="20"/>
          <w:lang w:eastAsia="es-CR"/>
        </w:rPr>
      </w:pPr>
      <w:r w:rsidRPr="00017EE6">
        <w:rPr>
          <w:rFonts w:ascii="Calibri" w:eastAsia="Times New Roman" w:hAnsi="Calibri" w:cs="Calibri"/>
          <w:color w:val="000000"/>
          <w:sz w:val="20"/>
          <w:szCs w:val="20"/>
          <w:lang w:eastAsia="es-CR"/>
        </w:rPr>
        <w:t> </w:t>
      </w:r>
    </w:p>
    <w:bookmarkStart w:id="23" w:name="_ftn10"/>
    <w:p w:rsidR="00017EE6" w:rsidRPr="00017EE6" w:rsidRDefault="00017EE6" w:rsidP="00017EE6">
      <w:pPr>
        <w:spacing w:after="0" w:line="240" w:lineRule="auto"/>
        <w:ind w:right="618"/>
        <w:jc w:val="both"/>
        <w:rPr>
          <w:rFonts w:ascii="Calibri" w:eastAsia="Times New Roman" w:hAnsi="Calibri" w:cs="Calibri"/>
          <w:color w:val="000000"/>
          <w:lang w:eastAsia="es-CR"/>
        </w:rPr>
      </w:pPr>
      <w:r w:rsidRPr="00017EE6">
        <w:rPr>
          <w:rFonts w:ascii="Calibri" w:eastAsia="Times New Roman" w:hAnsi="Calibri" w:cs="Calibri"/>
          <w:color w:val="000000"/>
          <w:lang w:eastAsia="es-CR"/>
        </w:rPr>
        <w:fldChar w:fldCharType="begin"/>
      </w:r>
      <w:r w:rsidRPr="00017EE6">
        <w:rPr>
          <w:rFonts w:ascii="Calibri" w:eastAsia="Times New Roman" w:hAnsi="Calibri" w:cs="Calibri"/>
          <w:color w:val="000000"/>
          <w:lang w:eastAsia="es-CR"/>
        </w:rPr>
        <w:instrText xml:space="preserve"> HYPERLINK "http://196.40.56.20/DOCUWEB/1/INCREMENTOPATRIMONIALNOJUSTIFICADO.html" \l "_ftnref10" \o "" </w:instrText>
      </w:r>
      <w:r w:rsidRPr="00017EE6">
        <w:rPr>
          <w:rFonts w:ascii="Calibri" w:eastAsia="Times New Roman" w:hAnsi="Calibri" w:cs="Calibri"/>
          <w:color w:val="000000"/>
          <w:lang w:eastAsia="es-CR"/>
        </w:rPr>
        <w:fldChar w:fldCharType="separate"/>
      </w:r>
      <w:r w:rsidRPr="00017EE6">
        <w:rPr>
          <w:rFonts w:ascii="Calibri" w:eastAsia="Times New Roman" w:hAnsi="Calibri" w:cs="Calibri"/>
          <w:color w:val="000000"/>
          <w:sz w:val="20"/>
          <w:u w:val="single"/>
          <w:vertAlign w:val="superscript"/>
          <w:lang w:eastAsia="es-CR"/>
        </w:rPr>
        <w:t>[10]</w:t>
      </w:r>
      <w:r w:rsidRPr="00017EE6">
        <w:rPr>
          <w:rFonts w:ascii="Calibri" w:eastAsia="Times New Roman" w:hAnsi="Calibri" w:cs="Calibri"/>
          <w:color w:val="000000"/>
          <w:lang w:eastAsia="es-CR"/>
        </w:rPr>
        <w:fldChar w:fldCharType="end"/>
      </w:r>
      <w:bookmarkEnd w:id="23"/>
      <w:r w:rsidRPr="00017EE6">
        <w:rPr>
          <w:rFonts w:ascii="Calibri" w:eastAsia="Times New Roman" w:hAnsi="Calibri" w:cs="Calibri"/>
          <w:color w:val="000000"/>
          <w:sz w:val="20"/>
          <w:lang w:eastAsia="es-CR"/>
        </w:rPr>
        <w:t> </w:t>
      </w:r>
      <w:r w:rsidRPr="00017EE6">
        <w:rPr>
          <w:rFonts w:ascii="Calibri" w:eastAsia="Times New Roman" w:hAnsi="Calibri" w:cs="Calibri"/>
          <w:color w:val="000000"/>
          <w:sz w:val="20"/>
          <w:szCs w:val="20"/>
          <w:lang w:eastAsia="es-CR"/>
        </w:rPr>
        <w:t>Es</w:t>
      </w:r>
      <w:r w:rsidRPr="00017EE6">
        <w:rPr>
          <w:rFonts w:ascii="Calibri" w:eastAsia="Times New Roman" w:hAnsi="Calibri" w:cs="Calibri"/>
          <w:color w:val="000000"/>
          <w:sz w:val="20"/>
          <w:lang w:eastAsia="es-CR"/>
        </w:rPr>
        <w:t> </w:t>
      </w:r>
      <w:r w:rsidRPr="00017EE6">
        <w:rPr>
          <w:rFonts w:ascii="Calibri" w:eastAsia="Times New Roman" w:hAnsi="Calibri" w:cs="Calibri"/>
          <w:color w:val="000000"/>
          <w:sz w:val="20"/>
          <w:szCs w:val="20"/>
          <w:lang w:eastAsia="es-CR"/>
        </w:rPr>
        <w:t>importante trasladarle la carga de la prueba al sujeto pasivo, ya que permite aplicar la norma legal sólo hasta haber agotado otras posibilidades más directas y exactas de gravar dichas rentas, sea como un ingreso específico al que se le debe aplicar otra norma de fondo, como rentas que ya fueron declaradas según corresponde, rentas exentas o no sujetas (la obligación tributaria debe ser lo más exacta posible). De no probar el fiscalizado ninguno de estos supuestos, el auditor puede aplicar la presunción en forma certera, utilizándola como mecanismo legal para determinar la obligación tributaria. Esta presunción se hace sólo porque la ley permite gravar los incrementos de patrimonio no justificados y no porque se haya logrado precisar qué tipo de renta constituye la fuente que originó el incremento que afloró en la fiscalización realizada.</w:t>
      </w:r>
    </w:p>
    <w:p w:rsidR="00017EE6" w:rsidRPr="00017EE6" w:rsidRDefault="00017EE6" w:rsidP="00017EE6">
      <w:pPr>
        <w:spacing w:after="0" w:line="240" w:lineRule="auto"/>
        <w:ind w:right="618"/>
        <w:rPr>
          <w:rFonts w:ascii="Calibri" w:eastAsia="Times New Roman" w:hAnsi="Calibri" w:cs="Calibri"/>
          <w:color w:val="000000"/>
          <w:lang w:eastAsia="es-CR"/>
        </w:rPr>
      </w:pPr>
      <w:r w:rsidRPr="00017EE6">
        <w:rPr>
          <w:rFonts w:ascii="Calibri" w:eastAsia="Times New Roman" w:hAnsi="Calibri" w:cs="Calibri"/>
          <w:color w:val="000000"/>
          <w:lang w:eastAsia="es-CR"/>
        </w:rPr>
        <w:t> </w:t>
      </w:r>
    </w:p>
    <w:bookmarkStart w:id="24" w:name="_ftn11"/>
    <w:p w:rsidR="00017EE6" w:rsidRPr="00017EE6" w:rsidRDefault="00017EE6" w:rsidP="00017EE6">
      <w:pPr>
        <w:spacing w:after="0" w:line="240" w:lineRule="auto"/>
        <w:rPr>
          <w:rFonts w:ascii="Calibri" w:eastAsia="Times New Roman" w:hAnsi="Calibri" w:cs="Calibri"/>
          <w:color w:val="000000"/>
          <w:lang w:eastAsia="es-CR"/>
        </w:rPr>
      </w:pPr>
      <w:r w:rsidRPr="00017EE6">
        <w:rPr>
          <w:rFonts w:ascii="Calibri" w:eastAsia="Times New Roman" w:hAnsi="Calibri" w:cs="Calibri"/>
          <w:color w:val="000000"/>
          <w:lang w:eastAsia="es-CR"/>
        </w:rPr>
        <w:fldChar w:fldCharType="begin"/>
      </w:r>
      <w:r w:rsidRPr="00017EE6">
        <w:rPr>
          <w:rFonts w:ascii="Calibri" w:eastAsia="Times New Roman" w:hAnsi="Calibri" w:cs="Calibri"/>
          <w:color w:val="000000"/>
          <w:lang w:eastAsia="es-CR"/>
        </w:rPr>
        <w:instrText xml:space="preserve"> HYPERLINK "http://196.40.56.20/DOCUWEB/1/INCREMENTOPATRIMONIALNOJUSTIFICADO.html" \l "_ftnref11" \o "" </w:instrText>
      </w:r>
      <w:r w:rsidRPr="00017EE6">
        <w:rPr>
          <w:rFonts w:ascii="Calibri" w:eastAsia="Times New Roman" w:hAnsi="Calibri" w:cs="Calibri"/>
          <w:color w:val="000000"/>
          <w:lang w:eastAsia="es-CR"/>
        </w:rPr>
        <w:fldChar w:fldCharType="separate"/>
      </w:r>
      <w:r w:rsidRPr="00017EE6">
        <w:rPr>
          <w:rFonts w:ascii="Calibri" w:eastAsia="Times New Roman" w:hAnsi="Calibri" w:cs="Calibri"/>
          <w:color w:val="800080"/>
          <w:u w:val="single"/>
          <w:vertAlign w:val="superscript"/>
          <w:lang w:eastAsia="es-CR"/>
        </w:rPr>
        <w:t>[11]</w:t>
      </w:r>
      <w:r w:rsidRPr="00017EE6">
        <w:rPr>
          <w:rFonts w:ascii="Calibri" w:eastAsia="Times New Roman" w:hAnsi="Calibri" w:cs="Calibri"/>
          <w:color w:val="000000"/>
          <w:lang w:eastAsia="es-CR"/>
        </w:rPr>
        <w:fldChar w:fldCharType="end"/>
      </w:r>
      <w:bookmarkEnd w:id="24"/>
      <w:r w:rsidRPr="00017EE6">
        <w:rPr>
          <w:rFonts w:ascii="Calibri" w:eastAsia="Times New Roman" w:hAnsi="Calibri" w:cs="Calibri"/>
          <w:color w:val="000000"/>
          <w:lang w:eastAsia="es-CR"/>
        </w:rPr>
        <w:t> </w:t>
      </w:r>
      <w:r w:rsidRPr="00017EE6">
        <w:rPr>
          <w:rFonts w:ascii="Calibri" w:eastAsia="Times New Roman" w:hAnsi="Calibri" w:cs="Calibri"/>
          <w:color w:val="000000"/>
          <w:sz w:val="20"/>
          <w:szCs w:val="20"/>
          <w:lang w:eastAsia="es-CR"/>
        </w:rPr>
        <w:t>Activo = Patrimonio + Pasivos</w:t>
      </w:r>
    </w:p>
    <w:p w:rsidR="00017EE6" w:rsidRPr="00017EE6" w:rsidRDefault="00017EE6" w:rsidP="00017EE6">
      <w:pPr>
        <w:spacing w:after="0" w:line="285" w:lineRule="atLeast"/>
        <w:ind w:left="170" w:right="1134" w:firstLine="709"/>
        <w:jc w:val="both"/>
        <w:rPr>
          <w:rFonts w:ascii="Times New Roman" w:eastAsia="Times New Roman" w:hAnsi="Times New Roman" w:cs="Times New Roman"/>
          <w:color w:val="000000"/>
          <w:sz w:val="20"/>
          <w:szCs w:val="20"/>
          <w:lang w:eastAsia="es-CR"/>
        </w:rPr>
      </w:pPr>
      <w:r w:rsidRPr="00017EE6">
        <w:rPr>
          <w:rFonts w:ascii="Times New Roman" w:eastAsia="Times New Roman" w:hAnsi="Times New Roman" w:cs="Times New Roman"/>
          <w:color w:val="000000"/>
          <w:sz w:val="20"/>
          <w:szCs w:val="20"/>
          <w:lang w:eastAsia="es-CR"/>
        </w:rPr>
        <w:t> </w:t>
      </w:r>
    </w:p>
    <w:bookmarkStart w:id="25" w:name="_ftn12"/>
    <w:p w:rsidR="00017EE6" w:rsidRPr="00017EE6" w:rsidRDefault="00017EE6" w:rsidP="00017EE6">
      <w:pPr>
        <w:spacing w:after="0" w:line="240" w:lineRule="auto"/>
        <w:ind w:left="-142" w:right="-284"/>
        <w:jc w:val="both"/>
        <w:rPr>
          <w:rFonts w:ascii="Calibri" w:eastAsia="Times New Roman" w:hAnsi="Calibri" w:cs="Calibri"/>
          <w:color w:val="000000"/>
          <w:lang w:eastAsia="es-CR"/>
        </w:rPr>
      </w:pPr>
      <w:r w:rsidRPr="00017EE6">
        <w:rPr>
          <w:rFonts w:ascii="Calibri" w:eastAsia="Times New Roman" w:hAnsi="Calibri" w:cs="Calibri"/>
          <w:color w:val="000000"/>
          <w:lang w:eastAsia="es-CR"/>
        </w:rPr>
        <w:fldChar w:fldCharType="begin"/>
      </w:r>
      <w:r w:rsidRPr="00017EE6">
        <w:rPr>
          <w:rFonts w:ascii="Calibri" w:eastAsia="Times New Roman" w:hAnsi="Calibri" w:cs="Calibri"/>
          <w:color w:val="000000"/>
          <w:lang w:eastAsia="es-CR"/>
        </w:rPr>
        <w:instrText xml:space="preserve"> HYPERLINK "http://196.40.56.20/DOCUWEB/1/INCREMENTOPATRIMONIALNOJUSTIFICADO.html" \l "_ftnref12" \o "" </w:instrText>
      </w:r>
      <w:r w:rsidRPr="00017EE6">
        <w:rPr>
          <w:rFonts w:ascii="Calibri" w:eastAsia="Times New Roman" w:hAnsi="Calibri" w:cs="Calibri"/>
          <w:color w:val="000000"/>
          <w:lang w:eastAsia="es-CR"/>
        </w:rPr>
        <w:fldChar w:fldCharType="separate"/>
      </w:r>
      <w:r w:rsidRPr="00017EE6">
        <w:rPr>
          <w:rFonts w:ascii="Calibri" w:eastAsia="Times New Roman" w:hAnsi="Calibri" w:cs="Calibri"/>
          <w:color w:val="800080"/>
          <w:sz w:val="20"/>
          <w:u w:val="single"/>
          <w:vertAlign w:val="superscript"/>
          <w:lang w:eastAsia="es-CR"/>
        </w:rPr>
        <w:t>[12]</w:t>
      </w:r>
      <w:r w:rsidRPr="00017EE6">
        <w:rPr>
          <w:rFonts w:ascii="Calibri" w:eastAsia="Times New Roman" w:hAnsi="Calibri" w:cs="Calibri"/>
          <w:color w:val="000000"/>
          <w:lang w:eastAsia="es-CR"/>
        </w:rPr>
        <w:fldChar w:fldCharType="end"/>
      </w:r>
      <w:bookmarkEnd w:id="25"/>
      <w:r w:rsidRPr="00017EE6">
        <w:rPr>
          <w:rFonts w:ascii="Calibri" w:eastAsia="Times New Roman" w:hAnsi="Calibri" w:cs="Calibri"/>
          <w:color w:val="000000"/>
          <w:sz w:val="20"/>
          <w:lang w:eastAsia="es-CR"/>
        </w:rPr>
        <w:t> </w:t>
      </w:r>
      <w:r w:rsidRPr="00017EE6">
        <w:rPr>
          <w:rFonts w:ascii="Calibri" w:eastAsia="Times New Roman" w:hAnsi="Calibri" w:cs="Calibri"/>
          <w:color w:val="000000"/>
          <w:sz w:val="20"/>
          <w:szCs w:val="20"/>
          <w:lang w:eastAsia="es-CR"/>
        </w:rPr>
        <w:t>El contribuyente debe demostrar que la exención estaba vigente</w:t>
      </w:r>
      <w:r w:rsidRPr="00017EE6">
        <w:rPr>
          <w:rFonts w:ascii="Calibri" w:eastAsia="Times New Roman" w:hAnsi="Calibri" w:cs="Calibri"/>
          <w:color w:val="000000"/>
          <w:sz w:val="20"/>
          <w:lang w:eastAsia="es-CR"/>
        </w:rPr>
        <w:t> </w:t>
      </w:r>
      <w:r w:rsidRPr="00017EE6">
        <w:rPr>
          <w:rFonts w:ascii="Calibri" w:eastAsia="Times New Roman" w:hAnsi="Calibri" w:cs="Calibri"/>
          <w:color w:val="000000"/>
          <w:sz w:val="20"/>
          <w:szCs w:val="20"/>
          <w:u w:val="single"/>
          <w:lang w:eastAsia="es-CR"/>
        </w:rPr>
        <w:t>durante el </w:t>
      </w:r>
      <w:r w:rsidRPr="00017EE6">
        <w:rPr>
          <w:rFonts w:ascii="Calibri" w:eastAsia="Times New Roman" w:hAnsi="Calibri" w:cs="Calibri"/>
          <w:color w:val="000000"/>
          <w:sz w:val="20"/>
          <w:u w:val="single"/>
          <w:lang w:eastAsia="es-CR"/>
        </w:rPr>
        <w:t> </w:t>
      </w:r>
      <w:r w:rsidRPr="00017EE6">
        <w:rPr>
          <w:rFonts w:ascii="Calibri" w:eastAsia="Times New Roman" w:hAnsi="Calibri" w:cs="Calibri"/>
          <w:color w:val="000000"/>
          <w:sz w:val="20"/>
          <w:szCs w:val="20"/>
          <w:u w:val="single"/>
          <w:lang w:eastAsia="es-CR"/>
        </w:rPr>
        <w:t>período fiscal objeto de la actuación fiscalizadora</w:t>
      </w:r>
      <w:r w:rsidRPr="00017EE6">
        <w:rPr>
          <w:rFonts w:ascii="Calibri" w:eastAsia="Times New Roman" w:hAnsi="Calibri" w:cs="Calibri"/>
          <w:color w:val="000000"/>
          <w:sz w:val="20"/>
          <w:szCs w:val="20"/>
          <w:lang w:eastAsia="es-CR"/>
        </w:rPr>
        <w:t>. La creación y derogatoria de las exenciones son materia reserva de ley, por lo que una exención perfectamente puede ser derogada por otra ley posterior que así lo disponga (art 6 del Código de Normas y Procedimientos Tributarios).  </w:t>
      </w:r>
    </w:p>
    <w:bookmarkStart w:id="26" w:name="_ftn13"/>
    <w:p w:rsidR="00017EE6" w:rsidRPr="00017EE6" w:rsidRDefault="00017EE6" w:rsidP="00017EE6">
      <w:pPr>
        <w:spacing w:line="240" w:lineRule="auto"/>
        <w:ind w:right="335"/>
        <w:jc w:val="both"/>
        <w:rPr>
          <w:rFonts w:ascii="Calibri" w:eastAsia="Times New Roman" w:hAnsi="Calibri" w:cs="Calibri"/>
          <w:color w:val="000000"/>
          <w:lang w:eastAsia="es-CR"/>
        </w:rPr>
      </w:pPr>
      <w:r w:rsidRPr="00017EE6">
        <w:rPr>
          <w:rFonts w:ascii="Calibri" w:eastAsia="Times New Roman" w:hAnsi="Calibri" w:cs="Calibri"/>
          <w:color w:val="000000"/>
          <w:lang w:eastAsia="es-CR"/>
        </w:rPr>
        <w:fldChar w:fldCharType="begin"/>
      </w:r>
      <w:r w:rsidRPr="00017EE6">
        <w:rPr>
          <w:rFonts w:ascii="Calibri" w:eastAsia="Times New Roman" w:hAnsi="Calibri" w:cs="Calibri"/>
          <w:color w:val="000000"/>
          <w:lang w:eastAsia="es-CR"/>
        </w:rPr>
        <w:instrText xml:space="preserve"> HYPERLINK "http://196.40.56.20/DOCUWEB/1/INCREMENTOPATRIMONIALNOJUSTIFICADO.html" \l "_ftnref13" \o "" </w:instrText>
      </w:r>
      <w:r w:rsidRPr="00017EE6">
        <w:rPr>
          <w:rFonts w:ascii="Calibri" w:eastAsia="Times New Roman" w:hAnsi="Calibri" w:cs="Calibri"/>
          <w:color w:val="000000"/>
          <w:lang w:eastAsia="es-CR"/>
        </w:rPr>
        <w:fldChar w:fldCharType="separate"/>
      </w:r>
      <w:r w:rsidRPr="00017EE6">
        <w:rPr>
          <w:rFonts w:ascii="Calibri" w:eastAsia="Times New Roman" w:hAnsi="Calibri" w:cs="Calibri"/>
          <w:color w:val="000000"/>
          <w:sz w:val="20"/>
          <w:u w:val="single"/>
          <w:vertAlign w:val="superscript"/>
          <w:lang w:eastAsia="es-CR"/>
        </w:rPr>
        <w:t>[13]</w:t>
      </w:r>
      <w:r w:rsidRPr="00017EE6">
        <w:rPr>
          <w:rFonts w:ascii="Calibri" w:eastAsia="Times New Roman" w:hAnsi="Calibri" w:cs="Calibri"/>
          <w:color w:val="000000"/>
          <w:lang w:eastAsia="es-CR"/>
        </w:rPr>
        <w:fldChar w:fldCharType="end"/>
      </w:r>
      <w:bookmarkEnd w:id="26"/>
      <w:r w:rsidRPr="00017EE6">
        <w:rPr>
          <w:rFonts w:ascii="Calibri" w:eastAsia="Times New Roman" w:hAnsi="Calibri" w:cs="Calibri"/>
          <w:color w:val="000000"/>
          <w:sz w:val="20"/>
          <w:szCs w:val="20"/>
          <w:lang w:eastAsia="es-CR"/>
        </w:rPr>
        <w:t> </w:t>
      </w:r>
      <w:r w:rsidRPr="00017EE6">
        <w:rPr>
          <w:rFonts w:ascii="Calibri" w:eastAsia="Times New Roman" w:hAnsi="Calibri" w:cs="Calibri"/>
          <w:color w:val="000000"/>
          <w:sz w:val="20"/>
          <w:lang w:eastAsia="es-CR"/>
        </w:rPr>
        <w:t> </w:t>
      </w:r>
      <w:r w:rsidRPr="00017EE6">
        <w:rPr>
          <w:rFonts w:ascii="Calibri" w:eastAsia="Times New Roman" w:hAnsi="Calibri" w:cs="Calibri"/>
          <w:i/>
          <w:iCs/>
          <w:color w:val="000000"/>
          <w:sz w:val="20"/>
          <w:szCs w:val="20"/>
          <w:lang w:eastAsia="es-CR"/>
        </w:rPr>
        <w:t>“(…) Cuando faltan documentos, la ley señala los procedimientos a seguir: Si faltan comprobantes de ingresos, éstos se pueden </w:t>
      </w:r>
      <w:r w:rsidRPr="00017EE6">
        <w:rPr>
          <w:rFonts w:ascii="Calibri" w:eastAsia="Times New Roman" w:hAnsi="Calibri" w:cs="Calibri"/>
          <w:i/>
          <w:iCs/>
          <w:color w:val="000000"/>
          <w:sz w:val="20"/>
          <w:lang w:eastAsia="es-CR"/>
        </w:rPr>
        <w:t> </w:t>
      </w:r>
      <w:r w:rsidRPr="00017EE6">
        <w:rPr>
          <w:rFonts w:ascii="Calibri" w:eastAsia="Times New Roman" w:hAnsi="Calibri" w:cs="Calibri"/>
          <w:i/>
          <w:iCs/>
          <w:color w:val="000000"/>
          <w:sz w:val="20"/>
          <w:szCs w:val="20"/>
          <w:lang w:eastAsia="es-CR"/>
        </w:rPr>
        <w:t>definir por vía indirecta, valiéndose de la facilidad que ofrece la contabilidad, para comparar las ventas registradas con las que teóricamente debieron producirse a partir de </w:t>
      </w:r>
      <w:r w:rsidRPr="00017EE6">
        <w:rPr>
          <w:rFonts w:ascii="Calibri" w:eastAsia="Times New Roman" w:hAnsi="Calibri" w:cs="Calibri"/>
          <w:i/>
          <w:iCs/>
          <w:color w:val="000000"/>
          <w:sz w:val="20"/>
          <w:lang w:eastAsia="es-CR"/>
        </w:rPr>
        <w:t> </w:t>
      </w:r>
      <w:r w:rsidRPr="00017EE6">
        <w:rPr>
          <w:rFonts w:ascii="Calibri" w:eastAsia="Times New Roman" w:hAnsi="Calibri" w:cs="Calibri"/>
          <w:i/>
          <w:iCs/>
          <w:color w:val="000000"/>
          <w:sz w:val="20"/>
          <w:szCs w:val="20"/>
          <w:lang w:eastAsia="es-CR"/>
        </w:rPr>
        <w:t>las compras. </w:t>
      </w:r>
      <w:r w:rsidRPr="00017EE6">
        <w:rPr>
          <w:rFonts w:ascii="Calibri" w:eastAsia="Times New Roman" w:hAnsi="Calibri" w:cs="Calibri"/>
          <w:i/>
          <w:iCs/>
          <w:color w:val="000000"/>
          <w:sz w:val="20"/>
          <w:lang w:eastAsia="es-CR"/>
        </w:rPr>
        <w:t> </w:t>
      </w:r>
      <w:r w:rsidRPr="00017EE6">
        <w:rPr>
          <w:rFonts w:ascii="Calibri" w:eastAsia="Times New Roman" w:hAnsi="Calibri" w:cs="Calibri"/>
          <w:i/>
          <w:iCs/>
          <w:color w:val="000000"/>
          <w:sz w:val="20"/>
          <w:szCs w:val="20"/>
          <w:lang w:eastAsia="es-CR"/>
        </w:rPr>
        <w:t>Si se trata de gastos, puede rechazarse total o parcialmente conforme a la ley. </w:t>
      </w:r>
      <w:r w:rsidRPr="00017EE6">
        <w:rPr>
          <w:rFonts w:ascii="Calibri" w:eastAsia="Times New Roman" w:hAnsi="Calibri" w:cs="Calibri"/>
          <w:i/>
          <w:iCs/>
          <w:color w:val="000000"/>
          <w:sz w:val="20"/>
          <w:lang w:eastAsia="es-CR"/>
        </w:rPr>
        <w:t> </w:t>
      </w:r>
      <w:r w:rsidRPr="00017EE6">
        <w:rPr>
          <w:rFonts w:ascii="Calibri" w:eastAsia="Times New Roman" w:hAnsi="Calibri" w:cs="Calibri"/>
          <w:i/>
          <w:iCs/>
          <w:color w:val="000000"/>
          <w:sz w:val="20"/>
          <w:szCs w:val="20"/>
          <w:lang w:eastAsia="es-CR"/>
        </w:rPr>
        <w:t>Para que pueda aplicarse la presunción del artículo 5° debe existir una situación de hecho, que</w:t>
      </w:r>
      <w:r w:rsidRPr="00017EE6">
        <w:rPr>
          <w:rFonts w:ascii="Calibri" w:eastAsia="Times New Roman" w:hAnsi="Calibri" w:cs="Calibri"/>
          <w:i/>
          <w:iCs/>
          <w:color w:val="000000"/>
          <w:sz w:val="20"/>
          <w:lang w:eastAsia="es-CR"/>
        </w:rPr>
        <w:t> </w:t>
      </w:r>
      <w:r w:rsidRPr="00017EE6">
        <w:rPr>
          <w:rFonts w:ascii="Calibri" w:eastAsia="Times New Roman" w:hAnsi="Calibri" w:cs="Calibri"/>
          <w:i/>
          <w:iCs/>
          <w:color w:val="000000"/>
          <w:sz w:val="20"/>
          <w:szCs w:val="20"/>
          <w:u w:val="single"/>
          <w:lang w:eastAsia="es-CR"/>
        </w:rPr>
        <w:t>haga ostensible la existencia de un patrimonio en poder del contribuyente cuya identidad y magnitud no se explica mediante el giro comercial declarado al Fisco</w:t>
      </w:r>
      <w:r w:rsidRPr="00017EE6">
        <w:rPr>
          <w:rFonts w:ascii="Calibri" w:eastAsia="Times New Roman" w:hAnsi="Calibri" w:cs="Calibri"/>
          <w:i/>
          <w:iCs/>
          <w:color w:val="000000"/>
          <w:sz w:val="20"/>
          <w:szCs w:val="20"/>
          <w:lang w:eastAsia="es-CR"/>
        </w:rPr>
        <w:t>. (…).”</w:t>
      </w:r>
      <w:r w:rsidRPr="00017EE6">
        <w:rPr>
          <w:rFonts w:ascii="Calibri" w:eastAsia="Times New Roman" w:hAnsi="Calibri" w:cs="Calibri"/>
          <w:color w:val="000000"/>
          <w:sz w:val="20"/>
          <w:lang w:eastAsia="es-CR"/>
        </w:rPr>
        <w:t> </w:t>
      </w:r>
      <w:r w:rsidRPr="00017EE6">
        <w:rPr>
          <w:rFonts w:ascii="Calibri" w:eastAsia="Times New Roman" w:hAnsi="Calibri" w:cs="Calibri"/>
          <w:color w:val="000000"/>
          <w:sz w:val="20"/>
          <w:szCs w:val="20"/>
          <w:lang w:eastAsia="es-CR"/>
        </w:rPr>
        <w:t>No. 25-2010. TRIBUNAL FISCAL ADMINISTRATIVO, dado a las 9:15 </w:t>
      </w:r>
      <w:r w:rsidRPr="00017EE6">
        <w:rPr>
          <w:rFonts w:ascii="Calibri" w:eastAsia="Times New Roman" w:hAnsi="Calibri" w:cs="Calibri"/>
          <w:color w:val="000000"/>
          <w:sz w:val="20"/>
          <w:lang w:eastAsia="es-CR"/>
        </w:rPr>
        <w:t> </w:t>
      </w:r>
      <w:r w:rsidRPr="00017EE6">
        <w:rPr>
          <w:rFonts w:ascii="Calibri" w:eastAsia="Times New Roman" w:hAnsi="Calibri" w:cs="Calibri"/>
          <w:color w:val="000000"/>
          <w:sz w:val="20"/>
          <w:szCs w:val="20"/>
          <w:lang w:eastAsia="es-CR"/>
        </w:rPr>
        <w:t>horas del 2 </w:t>
      </w:r>
      <w:r w:rsidRPr="00017EE6">
        <w:rPr>
          <w:rFonts w:ascii="Calibri" w:eastAsia="Times New Roman" w:hAnsi="Calibri" w:cs="Calibri"/>
          <w:color w:val="000000"/>
          <w:sz w:val="20"/>
          <w:lang w:eastAsia="es-CR"/>
        </w:rPr>
        <w:t> </w:t>
      </w:r>
      <w:r w:rsidRPr="00017EE6">
        <w:rPr>
          <w:rFonts w:ascii="Calibri" w:eastAsia="Times New Roman" w:hAnsi="Calibri" w:cs="Calibri"/>
          <w:color w:val="000000"/>
          <w:sz w:val="20"/>
          <w:szCs w:val="20"/>
          <w:lang w:eastAsia="es-CR"/>
        </w:rPr>
        <w:t>de febrero de 2010.</w:t>
      </w:r>
    </w:p>
    <w:bookmarkStart w:id="27" w:name="_ftn14"/>
    <w:p w:rsidR="00017EE6" w:rsidRPr="00017EE6" w:rsidRDefault="00017EE6" w:rsidP="00017EE6">
      <w:pPr>
        <w:spacing w:line="240" w:lineRule="auto"/>
        <w:ind w:right="335"/>
        <w:jc w:val="both"/>
        <w:rPr>
          <w:rFonts w:ascii="Calibri" w:eastAsia="Times New Roman" w:hAnsi="Calibri" w:cs="Calibri"/>
          <w:color w:val="000000"/>
          <w:lang w:eastAsia="es-CR"/>
        </w:rPr>
      </w:pPr>
      <w:r w:rsidRPr="00017EE6">
        <w:rPr>
          <w:rFonts w:ascii="Calibri" w:eastAsia="Times New Roman" w:hAnsi="Calibri" w:cs="Calibri"/>
          <w:color w:val="000000"/>
          <w:lang w:eastAsia="es-CR"/>
        </w:rPr>
        <w:fldChar w:fldCharType="begin"/>
      </w:r>
      <w:r w:rsidRPr="00017EE6">
        <w:rPr>
          <w:rFonts w:ascii="Calibri" w:eastAsia="Times New Roman" w:hAnsi="Calibri" w:cs="Calibri"/>
          <w:color w:val="000000"/>
          <w:lang w:eastAsia="es-CR"/>
        </w:rPr>
        <w:instrText xml:space="preserve"> HYPERLINK "http://196.40.56.20/DOCUWEB/1/INCREMENTOPATRIMONIALNOJUSTIFICADO.html" \l "_ftnref14" \o "" </w:instrText>
      </w:r>
      <w:r w:rsidRPr="00017EE6">
        <w:rPr>
          <w:rFonts w:ascii="Calibri" w:eastAsia="Times New Roman" w:hAnsi="Calibri" w:cs="Calibri"/>
          <w:color w:val="000000"/>
          <w:lang w:eastAsia="es-CR"/>
        </w:rPr>
        <w:fldChar w:fldCharType="separate"/>
      </w:r>
      <w:r w:rsidRPr="00017EE6">
        <w:rPr>
          <w:rFonts w:ascii="Calibri" w:eastAsia="Times New Roman" w:hAnsi="Calibri" w:cs="Calibri"/>
          <w:color w:val="000000"/>
          <w:u w:val="single"/>
          <w:vertAlign w:val="superscript"/>
          <w:lang w:eastAsia="es-CR"/>
        </w:rPr>
        <w:t>[14]</w:t>
      </w:r>
      <w:r w:rsidRPr="00017EE6">
        <w:rPr>
          <w:rFonts w:ascii="Calibri" w:eastAsia="Times New Roman" w:hAnsi="Calibri" w:cs="Calibri"/>
          <w:color w:val="000000"/>
          <w:lang w:eastAsia="es-CR"/>
        </w:rPr>
        <w:fldChar w:fldCharType="end"/>
      </w:r>
      <w:bookmarkEnd w:id="27"/>
      <w:r w:rsidRPr="00017EE6">
        <w:rPr>
          <w:rFonts w:ascii="Calibri" w:eastAsia="Times New Roman" w:hAnsi="Calibri" w:cs="Calibri"/>
          <w:color w:val="000000"/>
          <w:lang w:eastAsia="es-CR"/>
        </w:rPr>
        <w:t> </w:t>
      </w:r>
      <w:r w:rsidRPr="00017EE6">
        <w:rPr>
          <w:rFonts w:ascii="Calibri" w:eastAsia="Times New Roman" w:hAnsi="Calibri" w:cs="Calibri"/>
          <w:color w:val="000000"/>
          <w:sz w:val="20"/>
          <w:szCs w:val="20"/>
          <w:lang w:eastAsia="es-CR"/>
        </w:rPr>
        <w:t xml:space="preserve">Nótese que se menciona el aspecto material y no formal. La existencia de documentos formales que justifiquen la adquisición onerosa no </w:t>
      </w:r>
      <w:proofErr w:type="gramStart"/>
      <w:r w:rsidRPr="00017EE6">
        <w:rPr>
          <w:rFonts w:ascii="Calibri" w:eastAsia="Times New Roman" w:hAnsi="Calibri" w:cs="Calibri"/>
          <w:color w:val="000000"/>
          <w:sz w:val="20"/>
          <w:szCs w:val="20"/>
          <w:lang w:eastAsia="es-CR"/>
        </w:rPr>
        <w:t>son</w:t>
      </w:r>
      <w:proofErr w:type="gramEnd"/>
      <w:r w:rsidRPr="00017EE6">
        <w:rPr>
          <w:rFonts w:ascii="Calibri" w:eastAsia="Times New Roman" w:hAnsi="Calibri" w:cs="Calibri"/>
          <w:color w:val="000000"/>
          <w:sz w:val="20"/>
          <w:szCs w:val="20"/>
          <w:lang w:eastAsia="es-CR"/>
        </w:rPr>
        <w:t xml:space="preserve"> suficientes si además, no se demuestra el origen de la fuente que permitió realizar tal transacción.</w:t>
      </w:r>
    </w:p>
    <w:p w:rsidR="00017EE6" w:rsidRPr="00017EE6" w:rsidRDefault="00017EE6" w:rsidP="00017EE6">
      <w:pPr>
        <w:spacing w:line="255" w:lineRule="atLeast"/>
        <w:rPr>
          <w:rFonts w:ascii="Calibri" w:eastAsia="Times New Roman" w:hAnsi="Calibri" w:cs="Calibri"/>
          <w:color w:val="000000"/>
          <w:lang w:eastAsia="es-CR"/>
        </w:rPr>
      </w:pPr>
      <w:r w:rsidRPr="00017EE6">
        <w:rPr>
          <w:rFonts w:ascii="Calibri" w:eastAsia="Times New Roman" w:hAnsi="Calibri" w:cs="Calibri"/>
          <w:color w:val="000000"/>
          <w:lang w:eastAsia="es-CR"/>
        </w:rPr>
        <w:t> </w:t>
      </w:r>
    </w:p>
    <w:p w:rsidR="0024740F" w:rsidRDefault="0024740F"/>
    <w:sectPr w:rsidR="0024740F" w:rsidSect="0024740F">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E83793"/>
    <w:multiLevelType w:val="multilevel"/>
    <w:tmpl w:val="64B26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C0C4AD9"/>
    <w:multiLevelType w:val="multilevel"/>
    <w:tmpl w:val="6616E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B6B147E"/>
    <w:multiLevelType w:val="multilevel"/>
    <w:tmpl w:val="9F1C7D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017EE6"/>
    <w:rsid w:val="00017EE6"/>
    <w:rsid w:val="0024740F"/>
  </w:rsids>
  <m:mathPr>
    <m:mathFont m:val="Cambria Math"/>
    <m:brkBin m:val="before"/>
    <m:brkBinSub m:val="--"/>
    <m:smallFrac m:val="off"/>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740F"/>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017EE6"/>
  </w:style>
  <w:style w:type="character" w:styleId="Hipervnculo">
    <w:name w:val="Hyperlink"/>
    <w:basedOn w:val="Fuentedeprrafopredeter"/>
    <w:uiPriority w:val="99"/>
    <w:semiHidden/>
    <w:unhideWhenUsed/>
    <w:rsid w:val="00017EE6"/>
    <w:rPr>
      <w:color w:val="0000FF"/>
      <w:u w:val="single"/>
    </w:rPr>
  </w:style>
  <w:style w:type="paragraph" w:styleId="Prrafodelista">
    <w:name w:val="List Paragraph"/>
    <w:basedOn w:val="Normal"/>
    <w:uiPriority w:val="34"/>
    <w:qFormat/>
    <w:rsid w:val="00017EE6"/>
    <w:pPr>
      <w:spacing w:before="100" w:beforeAutospacing="1" w:after="100" w:afterAutospacing="1" w:line="240" w:lineRule="auto"/>
    </w:pPr>
    <w:rPr>
      <w:rFonts w:ascii="Times New Roman" w:eastAsia="Times New Roman" w:hAnsi="Times New Roman" w:cs="Times New Roman"/>
      <w:sz w:val="24"/>
      <w:szCs w:val="24"/>
      <w:lang w:eastAsia="es-CR"/>
    </w:rPr>
  </w:style>
  <w:style w:type="character" w:styleId="Refdenotaalpie">
    <w:name w:val="footnote reference"/>
    <w:basedOn w:val="Fuentedeprrafopredeter"/>
    <w:uiPriority w:val="99"/>
    <w:semiHidden/>
    <w:unhideWhenUsed/>
    <w:rsid w:val="00017EE6"/>
  </w:style>
  <w:style w:type="paragraph" w:styleId="NormalWeb">
    <w:name w:val="Normal (Web)"/>
    <w:basedOn w:val="Normal"/>
    <w:uiPriority w:val="99"/>
    <w:semiHidden/>
    <w:unhideWhenUsed/>
    <w:rsid w:val="00017EE6"/>
    <w:pPr>
      <w:spacing w:before="100" w:beforeAutospacing="1" w:after="100" w:afterAutospacing="1" w:line="240" w:lineRule="auto"/>
    </w:pPr>
    <w:rPr>
      <w:rFonts w:ascii="Times New Roman" w:eastAsia="Times New Roman" w:hAnsi="Times New Roman" w:cs="Times New Roman"/>
      <w:sz w:val="24"/>
      <w:szCs w:val="24"/>
      <w:lang w:eastAsia="es-CR"/>
    </w:rPr>
  </w:style>
  <w:style w:type="paragraph" w:styleId="Textonotapie">
    <w:name w:val="footnote text"/>
    <w:basedOn w:val="Normal"/>
    <w:link w:val="TextonotapieCar"/>
    <w:uiPriority w:val="99"/>
    <w:semiHidden/>
    <w:unhideWhenUsed/>
    <w:rsid w:val="00017EE6"/>
    <w:pPr>
      <w:spacing w:before="100" w:beforeAutospacing="1" w:after="100" w:afterAutospacing="1" w:line="240" w:lineRule="auto"/>
    </w:pPr>
    <w:rPr>
      <w:rFonts w:ascii="Times New Roman" w:eastAsia="Times New Roman" w:hAnsi="Times New Roman" w:cs="Times New Roman"/>
      <w:sz w:val="24"/>
      <w:szCs w:val="24"/>
      <w:lang w:eastAsia="es-CR"/>
    </w:rPr>
  </w:style>
  <w:style w:type="character" w:customStyle="1" w:styleId="TextonotapieCar">
    <w:name w:val="Texto nota pie Car"/>
    <w:basedOn w:val="Fuentedeprrafopredeter"/>
    <w:link w:val="Textonotapie"/>
    <w:uiPriority w:val="99"/>
    <w:semiHidden/>
    <w:rsid w:val="00017EE6"/>
    <w:rPr>
      <w:rFonts w:ascii="Times New Roman" w:eastAsia="Times New Roman" w:hAnsi="Times New Roman" w:cs="Times New Roman"/>
      <w:sz w:val="24"/>
      <w:szCs w:val="24"/>
      <w:lang w:eastAsia="es-CR"/>
    </w:rPr>
  </w:style>
</w:styles>
</file>

<file path=word/webSettings.xml><?xml version="1.0" encoding="utf-8"?>
<w:webSettings xmlns:r="http://schemas.openxmlformats.org/officeDocument/2006/relationships" xmlns:w="http://schemas.openxmlformats.org/wordprocessingml/2006/main">
  <w:divs>
    <w:div w:id="1579360628">
      <w:bodyDiv w:val="1"/>
      <w:marLeft w:val="0"/>
      <w:marRight w:val="0"/>
      <w:marTop w:val="0"/>
      <w:marBottom w:val="0"/>
      <w:divBdr>
        <w:top w:val="none" w:sz="0" w:space="0" w:color="auto"/>
        <w:left w:val="none" w:sz="0" w:space="0" w:color="auto"/>
        <w:bottom w:val="none" w:sz="0" w:space="0" w:color="auto"/>
        <w:right w:val="none" w:sz="0" w:space="0" w:color="auto"/>
      </w:divBdr>
      <w:divsChild>
        <w:div w:id="659963010">
          <w:marLeft w:val="0"/>
          <w:marRight w:val="0"/>
          <w:marTop w:val="0"/>
          <w:marBottom w:val="0"/>
          <w:divBdr>
            <w:top w:val="none" w:sz="0" w:space="0" w:color="auto"/>
            <w:left w:val="none" w:sz="0" w:space="0" w:color="auto"/>
            <w:bottom w:val="none" w:sz="0" w:space="0" w:color="auto"/>
            <w:right w:val="none" w:sz="0" w:space="0" w:color="auto"/>
          </w:divBdr>
          <w:divsChild>
            <w:div w:id="662785134">
              <w:marLeft w:val="0"/>
              <w:marRight w:val="0"/>
              <w:marTop w:val="0"/>
              <w:marBottom w:val="0"/>
              <w:divBdr>
                <w:top w:val="none" w:sz="0" w:space="0" w:color="auto"/>
                <w:left w:val="none" w:sz="0" w:space="0" w:color="auto"/>
                <w:bottom w:val="none" w:sz="0" w:space="0" w:color="auto"/>
                <w:right w:val="none" w:sz="0" w:space="0" w:color="auto"/>
              </w:divBdr>
            </w:div>
            <w:div w:id="843861061">
              <w:marLeft w:val="0"/>
              <w:marRight w:val="0"/>
              <w:marTop w:val="0"/>
              <w:marBottom w:val="0"/>
              <w:divBdr>
                <w:top w:val="none" w:sz="0" w:space="0" w:color="auto"/>
                <w:left w:val="none" w:sz="0" w:space="0" w:color="auto"/>
                <w:bottom w:val="none" w:sz="0" w:space="0" w:color="auto"/>
                <w:right w:val="none" w:sz="0" w:space="0" w:color="auto"/>
              </w:divBdr>
            </w:div>
            <w:div w:id="554044220">
              <w:marLeft w:val="0"/>
              <w:marRight w:val="0"/>
              <w:marTop w:val="0"/>
              <w:marBottom w:val="0"/>
              <w:divBdr>
                <w:top w:val="none" w:sz="0" w:space="0" w:color="auto"/>
                <w:left w:val="none" w:sz="0" w:space="0" w:color="auto"/>
                <w:bottom w:val="none" w:sz="0" w:space="0" w:color="auto"/>
                <w:right w:val="none" w:sz="0" w:space="0" w:color="auto"/>
              </w:divBdr>
            </w:div>
            <w:div w:id="133304304">
              <w:marLeft w:val="0"/>
              <w:marRight w:val="0"/>
              <w:marTop w:val="0"/>
              <w:marBottom w:val="0"/>
              <w:divBdr>
                <w:top w:val="none" w:sz="0" w:space="0" w:color="auto"/>
                <w:left w:val="none" w:sz="0" w:space="0" w:color="auto"/>
                <w:bottom w:val="none" w:sz="0" w:space="0" w:color="auto"/>
                <w:right w:val="none" w:sz="0" w:space="0" w:color="auto"/>
              </w:divBdr>
            </w:div>
            <w:div w:id="1949848192">
              <w:marLeft w:val="0"/>
              <w:marRight w:val="0"/>
              <w:marTop w:val="0"/>
              <w:marBottom w:val="0"/>
              <w:divBdr>
                <w:top w:val="none" w:sz="0" w:space="0" w:color="auto"/>
                <w:left w:val="none" w:sz="0" w:space="0" w:color="auto"/>
                <w:bottom w:val="none" w:sz="0" w:space="0" w:color="auto"/>
                <w:right w:val="none" w:sz="0" w:space="0" w:color="auto"/>
              </w:divBdr>
            </w:div>
            <w:div w:id="669140858">
              <w:marLeft w:val="0"/>
              <w:marRight w:val="0"/>
              <w:marTop w:val="0"/>
              <w:marBottom w:val="0"/>
              <w:divBdr>
                <w:top w:val="none" w:sz="0" w:space="0" w:color="auto"/>
                <w:left w:val="none" w:sz="0" w:space="0" w:color="auto"/>
                <w:bottom w:val="none" w:sz="0" w:space="0" w:color="auto"/>
                <w:right w:val="none" w:sz="0" w:space="0" w:color="auto"/>
              </w:divBdr>
            </w:div>
            <w:div w:id="596450179">
              <w:marLeft w:val="0"/>
              <w:marRight w:val="0"/>
              <w:marTop w:val="0"/>
              <w:marBottom w:val="0"/>
              <w:divBdr>
                <w:top w:val="none" w:sz="0" w:space="0" w:color="auto"/>
                <w:left w:val="none" w:sz="0" w:space="0" w:color="auto"/>
                <w:bottom w:val="none" w:sz="0" w:space="0" w:color="auto"/>
                <w:right w:val="none" w:sz="0" w:space="0" w:color="auto"/>
              </w:divBdr>
            </w:div>
            <w:div w:id="233591960">
              <w:marLeft w:val="0"/>
              <w:marRight w:val="0"/>
              <w:marTop w:val="0"/>
              <w:marBottom w:val="0"/>
              <w:divBdr>
                <w:top w:val="none" w:sz="0" w:space="0" w:color="auto"/>
                <w:left w:val="none" w:sz="0" w:space="0" w:color="auto"/>
                <w:bottom w:val="none" w:sz="0" w:space="0" w:color="auto"/>
                <w:right w:val="none" w:sz="0" w:space="0" w:color="auto"/>
              </w:divBdr>
            </w:div>
            <w:div w:id="1757903270">
              <w:marLeft w:val="0"/>
              <w:marRight w:val="0"/>
              <w:marTop w:val="0"/>
              <w:marBottom w:val="0"/>
              <w:divBdr>
                <w:top w:val="none" w:sz="0" w:space="0" w:color="auto"/>
                <w:left w:val="none" w:sz="0" w:space="0" w:color="auto"/>
                <w:bottom w:val="none" w:sz="0" w:space="0" w:color="auto"/>
                <w:right w:val="none" w:sz="0" w:space="0" w:color="auto"/>
              </w:divBdr>
            </w:div>
            <w:div w:id="2014146092">
              <w:marLeft w:val="0"/>
              <w:marRight w:val="0"/>
              <w:marTop w:val="0"/>
              <w:marBottom w:val="0"/>
              <w:divBdr>
                <w:top w:val="none" w:sz="0" w:space="0" w:color="auto"/>
                <w:left w:val="none" w:sz="0" w:space="0" w:color="auto"/>
                <w:bottom w:val="none" w:sz="0" w:space="0" w:color="auto"/>
                <w:right w:val="none" w:sz="0" w:space="0" w:color="auto"/>
              </w:divBdr>
            </w:div>
            <w:div w:id="1103572217">
              <w:marLeft w:val="0"/>
              <w:marRight w:val="0"/>
              <w:marTop w:val="0"/>
              <w:marBottom w:val="0"/>
              <w:divBdr>
                <w:top w:val="none" w:sz="0" w:space="0" w:color="auto"/>
                <w:left w:val="none" w:sz="0" w:space="0" w:color="auto"/>
                <w:bottom w:val="none" w:sz="0" w:space="0" w:color="auto"/>
                <w:right w:val="none" w:sz="0" w:space="0" w:color="auto"/>
              </w:divBdr>
            </w:div>
            <w:div w:id="1801416636">
              <w:marLeft w:val="0"/>
              <w:marRight w:val="0"/>
              <w:marTop w:val="0"/>
              <w:marBottom w:val="0"/>
              <w:divBdr>
                <w:top w:val="none" w:sz="0" w:space="0" w:color="auto"/>
                <w:left w:val="none" w:sz="0" w:space="0" w:color="auto"/>
                <w:bottom w:val="none" w:sz="0" w:space="0" w:color="auto"/>
                <w:right w:val="none" w:sz="0" w:space="0" w:color="auto"/>
              </w:divBdr>
            </w:div>
            <w:div w:id="864364025">
              <w:marLeft w:val="0"/>
              <w:marRight w:val="0"/>
              <w:marTop w:val="0"/>
              <w:marBottom w:val="0"/>
              <w:divBdr>
                <w:top w:val="none" w:sz="0" w:space="0" w:color="auto"/>
                <w:left w:val="none" w:sz="0" w:space="0" w:color="auto"/>
                <w:bottom w:val="none" w:sz="0" w:space="0" w:color="auto"/>
                <w:right w:val="none" w:sz="0" w:space="0" w:color="auto"/>
              </w:divBdr>
            </w:div>
            <w:div w:id="1279986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4942</Words>
  <Characters>27185</Characters>
  <Application>Microsoft Office Word</Application>
  <DocSecurity>0</DocSecurity>
  <Lines>226</Lines>
  <Paragraphs>64</Paragraphs>
  <ScaleCrop>false</ScaleCrop>
  <Company/>
  <LinksUpToDate>false</LinksUpToDate>
  <CharactersWithSpaces>32063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jchinchilla</dc:creator>
  <cp:lastModifiedBy>jchinchilla</cp:lastModifiedBy>
  <cp:revision>1</cp:revision>
  <dcterms:created xsi:type="dcterms:W3CDTF">2012-11-08T20:13:00Z</dcterms:created>
  <dcterms:modified xsi:type="dcterms:W3CDTF">2012-11-08T20:19:00Z</dcterms:modified>
</cp:coreProperties>
</file>